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BF664" w14:textId="1420C866" w:rsidR="00C13164" w:rsidRPr="00B41B3C" w:rsidRDefault="0003708E" w:rsidP="0022783C">
      <w:pPr>
        <w:spacing w:after="0" w:line="260" w:lineRule="exact"/>
        <w:rPr>
          <w:rFonts w:cstheme="minorHAnsi"/>
          <w:color w:val="000000"/>
        </w:rPr>
      </w:pPr>
      <w:r>
        <w:rPr>
          <w:rFonts w:cstheme="minorHAnsi"/>
          <w:color w:val="000000"/>
        </w:rPr>
        <w:t>August</w:t>
      </w:r>
      <w:r w:rsidR="009C425B">
        <w:rPr>
          <w:rFonts w:cstheme="minorHAnsi"/>
          <w:color w:val="000000"/>
        </w:rPr>
        <w:t xml:space="preserve"> 1</w:t>
      </w:r>
      <w:r w:rsidR="00810946">
        <w:rPr>
          <w:rFonts w:cstheme="minorHAnsi"/>
          <w:color w:val="000000"/>
        </w:rPr>
        <w:t>1</w:t>
      </w:r>
      <w:r w:rsidR="00C13164" w:rsidRPr="00B41B3C">
        <w:rPr>
          <w:rFonts w:cstheme="minorHAnsi"/>
          <w:color w:val="000000"/>
        </w:rPr>
        <w:t>, 202</w:t>
      </w:r>
      <w:r w:rsidR="00931F67">
        <w:rPr>
          <w:rFonts w:cstheme="minorHAnsi"/>
          <w:color w:val="000000"/>
        </w:rPr>
        <w:t>6</w:t>
      </w:r>
    </w:p>
    <w:p w14:paraId="3BA84D32" w14:textId="77777777" w:rsidR="00C13164" w:rsidRPr="00B41B3C" w:rsidRDefault="00C13164" w:rsidP="0022783C">
      <w:pPr>
        <w:spacing w:after="0" w:line="260" w:lineRule="exact"/>
        <w:rPr>
          <w:rFonts w:cstheme="minorHAnsi"/>
          <w:color w:val="000000"/>
        </w:rPr>
      </w:pPr>
    </w:p>
    <w:p w14:paraId="0A044577" w14:textId="2CF1AA9C" w:rsidR="00D41A7B" w:rsidRPr="00B41B3C" w:rsidRDefault="004A62BE" w:rsidP="00931F67">
      <w:pPr>
        <w:spacing w:after="0" w:line="260" w:lineRule="exact"/>
        <w:ind w:left="720" w:hanging="720"/>
        <w:rPr>
          <w:rFonts w:cstheme="minorHAnsi"/>
          <w:color w:val="000000"/>
        </w:rPr>
      </w:pPr>
      <w:r w:rsidRPr="00B41B3C">
        <w:rPr>
          <w:rFonts w:cstheme="minorHAnsi"/>
          <w:b/>
          <w:bCs/>
          <w:color w:val="000000"/>
        </w:rPr>
        <w:t>To</w:t>
      </w:r>
      <w:proofErr w:type="gramStart"/>
      <w:r w:rsidRPr="00B41B3C">
        <w:rPr>
          <w:rFonts w:cstheme="minorHAnsi"/>
          <w:b/>
          <w:bCs/>
          <w:color w:val="000000"/>
        </w:rPr>
        <w:t>:</w:t>
      </w:r>
      <w:r w:rsidRPr="00B41B3C">
        <w:rPr>
          <w:rFonts w:cstheme="minorHAnsi"/>
          <w:color w:val="000000"/>
        </w:rPr>
        <w:t xml:space="preserve"> </w:t>
      </w:r>
      <w:r w:rsidR="00D41A7B" w:rsidRPr="00B41B3C">
        <w:rPr>
          <w:rFonts w:cstheme="minorHAnsi"/>
          <w:color w:val="000000"/>
        </w:rPr>
        <w:tab/>
      </w:r>
      <w:r w:rsidR="00931F67" w:rsidRPr="00B41B3C">
        <w:rPr>
          <w:rFonts w:cstheme="minorHAnsi"/>
          <w:color w:val="000000"/>
        </w:rPr>
        <w:t>Kevin</w:t>
      </w:r>
      <w:proofErr w:type="gramEnd"/>
      <w:r w:rsidR="00931F67" w:rsidRPr="00B41B3C">
        <w:rPr>
          <w:rFonts w:cstheme="minorHAnsi"/>
          <w:color w:val="000000"/>
        </w:rPr>
        <w:t xml:space="preserve"> Clark, (IA)</w:t>
      </w:r>
      <w:r w:rsidR="00D41A7B" w:rsidRPr="00B41B3C">
        <w:rPr>
          <w:rFonts w:cstheme="minorHAnsi"/>
          <w:color w:val="000000"/>
        </w:rPr>
        <w:t>, Chair, Statutory Accounting Principles (E) Working Group</w:t>
      </w:r>
    </w:p>
    <w:p w14:paraId="2892C883" w14:textId="709CF21C" w:rsidR="00DF44AA" w:rsidRDefault="00931F67" w:rsidP="00B9315C">
      <w:pPr>
        <w:spacing w:after="0" w:line="260" w:lineRule="exact"/>
        <w:ind w:firstLine="720"/>
        <w:rPr>
          <w:rFonts w:cstheme="minorHAnsi"/>
          <w:color w:val="000000"/>
        </w:rPr>
      </w:pPr>
      <w:r w:rsidRPr="00B41B3C">
        <w:rPr>
          <w:rFonts w:cstheme="minorHAnsi"/>
          <w:color w:val="000000"/>
        </w:rPr>
        <w:t>Dale Bruggeman (</w:t>
      </w:r>
      <w:r w:rsidR="00B92018">
        <w:rPr>
          <w:rFonts w:cstheme="minorHAnsi"/>
          <w:color w:val="000000"/>
        </w:rPr>
        <w:t>OH</w:t>
      </w:r>
      <w:r w:rsidRPr="00B41B3C">
        <w:rPr>
          <w:rFonts w:cstheme="minorHAnsi"/>
          <w:color w:val="000000"/>
        </w:rPr>
        <w:t>)</w:t>
      </w:r>
      <w:r w:rsidR="00D41A7B" w:rsidRPr="00B41B3C">
        <w:rPr>
          <w:rFonts w:cstheme="minorHAnsi"/>
          <w:color w:val="000000"/>
        </w:rPr>
        <w:t>, Vice Chair, Statutory Accounting Principles (E</w:t>
      </w:r>
      <w:r w:rsidR="00521767">
        <w:rPr>
          <w:rFonts w:cstheme="minorHAnsi"/>
          <w:color w:val="000000"/>
        </w:rPr>
        <w:t>)</w:t>
      </w:r>
      <w:r w:rsidR="00D41A7B" w:rsidRPr="00B41B3C">
        <w:rPr>
          <w:rFonts w:cstheme="minorHAnsi"/>
          <w:color w:val="000000"/>
        </w:rPr>
        <w:t xml:space="preserve"> Working Group</w:t>
      </w:r>
    </w:p>
    <w:p w14:paraId="25E80E7C" w14:textId="7A79AA9A" w:rsidR="003C6EA1" w:rsidRPr="00B41B3C" w:rsidRDefault="004A62BE" w:rsidP="00B9315C">
      <w:pPr>
        <w:spacing w:after="0" w:line="260" w:lineRule="exact"/>
        <w:ind w:firstLine="720"/>
        <w:rPr>
          <w:rFonts w:cstheme="minorHAnsi"/>
          <w:color w:val="000000"/>
        </w:rPr>
      </w:pPr>
      <w:r w:rsidRPr="00B41B3C">
        <w:rPr>
          <w:rFonts w:cstheme="minorHAnsi"/>
          <w:color w:val="000000"/>
        </w:rPr>
        <w:br/>
      </w:r>
      <w:r w:rsidRPr="00B41B3C">
        <w:rPr>
          <w:rFonts w:cstheme="minorHAnsi"/>
          <w:b/>
          <w:bCs/>
          <w:color w:val="000000"/>
        </w:rPr>
        <w:t>From</w:t>
      </w:r>
      <w:proofErr w:type="gramStart"/>
      <w:r w:rsidRPr="00B41B3C">
        <w:rPr>
          <w:rFonts w:cstheme="minorHAnsi"/>
          <w:b/>
          <w:bCs/>
          <w:color w:val="000000"/>
        </w:rPr>
        <w:t>:</w:t>
      </w:r>
      <w:r w:rsidRPr="00B41B3C">
        <w:rPr>
          <w:rFonts w:cstheme="minorHAnsi"/>
          <w:color w:val="000000"/>
        </w:rPr>
        <w:t xml:space="preserve"> </w:t>
      </w:r>
      <w:r w:rsidR="003C6EA1" w:rsidRPr="00B41B3C">
        <w:rPr>
          <w:rFonts w:cstheme="minorHAnsi"/>
          <w:color w:val="000000"/>
        </w:rPr>
        <w:tab/>
        <w:t>Rachel</w:t>
      </w:r>
      <w:proofErr w:type="gramEnd"/>
      <w:r w:rsidR="003C6EA1" w:rsidRPr="00B41B3C">
        <w:rPr>
          <w:rFonts w:cstheme="minorHAnsi"/>
          <w:color w:val="000000"/>
        </w:rPr>
        <w:t xml:space="preserve"> Hemphill (TX), Chair, Life Actuarial (A) Task Force,</w:t>
      </w:r>
    </w:p>
    <w:p w14:paraId="06B9241B" w14:textId="77777777" w:rsidR="003C6EA1" w:rsidRPr="00B41B3C" w:rsidRDefault="003C6EA1" w:rsidP="003C6EA1">
      <w:pPr>
        <w:spacing w:after="0" w:line="260" w:lineRule="exact"/>
        <w:ind w:firstLine="720"/>
        <w:rPr>
          <w:rFonts w:cstheme="minorHAnsi"/>
          <w:color w:val="000000"/>
        </w:rPr>
      </w:pPr>
      <w:r w:rsidRPr="00B41B3C">
        <w:rPr>
          <w:rFonts w:cstheme="minorHAnsi"/>
          <w:color w:val="000000"/>
        </w:rPr>
        <w:t>Craig Chupp (VA), Vice Chair, Life Actuarial (A) Task Force</w:t>
      </w:r>
    </w:p>
    <w:p w14:paraId="7F9B0066" w14:textId="16D22E67" w:rsidR="004A62BE" w:rsidRPr="00B41B3C" w:rsidRDefault="004A62BE" w:rsidP="00354222">
      <w:pPr>
        <w:spacing w:after="0" w:line="260" w:lineRule="exact"/>
        <w:ind w:firstLine="720"/>
        <w:rPr>
          <w:rFonts w:cstheme="minorHAnsi"/>
          <w:color w:val="000000"/>
        </w:rPr>
      </w:pPr>
      <w:r w:rsidRPr="00B41B3C">
        <w:rPr>
          <w:rFonts w:cstheme="minorHAnsi"/>
          <w:color w:val="000000"/>
        </w:rPr>
        <w:br/>
      </w:r>
      <w:r w:rsidRPr="00B41B3C">
        <w:rPr>
          <w:rFonts w:cstheme="minorHAnsi"/>
          <w:b/>
          <w:bCs/>
          <w:color w:val="000000"/>
        </w:rPr>
        <w:t>RE:</w:t>
      </w:r>
      <w:r w:rsidRPr="00B41B3C">
        <w:rPr>
          <w:rFonts w:cstheme="minorHAnsi"/>
          <w:color w:val="000000"/>
        </w:rPr>
        <w:t xml:space="preserve"> </w:t>
      </w:r>
      <w:r w:rsidR="00354222" w:rsidRPr="00B41B3C">
        <w:rPr>
          <w:rFonts w:cstheme="minorHAnsi"/>
          <w:color w:val="000000"/>
        </w:rPr>
        <w:t>Life Actuarial (A) Task Force Coordination with the Statutory Accounting Principles (E) Working Group 202</w:t>
      </w:r>
      <w:r w:rsidR="00931F67">
        <w:rPr>
          <w:rFonts w:cstheme="minorHAnsi"/>
          <w:color w:val="000000"/>
        </w:rPr>
        <w:t>6</w:t>
      </w:r>
    </w:p>
    <w:p w14:paraId="786B4DC0" w14:textId="77777777" w:rsidR="004A62BE" w:rsidRDefault="004A62BE" w:rsidP="0022783C">
      <w:pPr>
        <w:spacing w:after="0" w:line="260" w:lineRule="exact"/>
        <w:rPr>
          <w:rFonts w:cstheme="minorHAnsi"/>
          <w:color w:val="000000"/>
        </w:rPr>
      </w:pPr>
    </w:p>
    <w:p w14:paraId="20870F97" w14:textId="477FC689" w:rsidR="00CF03E2" w:rsidRPr="00B41B3C" w:rsidRDefault="00CF03E2" w:rsidP="00885139">
      <w:pPr>
        <w:spacing w:after="0" w:line="280" w:lineRule="exact"/>
        <w:jc w:val="both"/>
        <w:rPr>
          <w:rFonts w:cstheme="minorHAnsi"/>
          <w:color w:val="000000"/>
        </w:rPr>
      </w:pPr>
      <w:r w:rsidRPr="00B41B3C">
        <w:rPr>
          <w:rFonts w:cstheme="minorHAnsi"/>
          <w:color w:val="000000"/>
        </w:rPr>
        <w:t xml:space="preserve">The Statutory Accounting Principles (E) Working Group charges requires the Working Group to coordinate with the Life Actuarial (A) Task Force on changes to the AP&amp;P Manual related to the </w:t>
      </w:r>
      <w:r w:rsidRPr="00C24A1F">
        <w:rPr>
          <w:rFonts w:cstheme="minorHAnsi"/>
          <w:i/>
          <w:iCs/>
          <w:color w:val="000000"/>
        </w:rPr>
        <w:t>Valuation Manual</w:t>
      </w:r>
      <w:r w:rsidRPr="00B41B3C">
        <w:rPr>
          <w:rFonts w:cstheme="minorHAnsi"/>
          <w:color w:val="000000"/>
        </w:rPr>
        <w:t xml:space="preserve"> </w:t>
      </w:r>
      <w:r w:rsidR="00411E19">
        <w:rPr>
          <w:rFonts w:cstheme="minorHAnsi"/>
          <w:color w:val="000000"/>
        </w:rPr>
        <w:t>(</w:t>
      </w:r>
      <w:r w:rsidRPr="00B41B3C">
        <w:rPr>
          <w:rFonts w:cstheme="minorHAnsi"/>
          <w:color w:val="000000"/>
        </w:rPr>
        <w:t>VM</w:t>
      </w:r>
      <w:r w:rsidR="00411E19">
        <w:rPr>
          <w:rFonts w:cstheme="minorHAnsi"/>
          <w:color w:val="000000"/>
        </w:rPr>
        <w:t>)</w:t>
      </w:r>
      <w:r w:rsidRPr="00B41B3C">
        <w:rPr>
          <w:rFonts w:cstheme="minorHAnsi"/>
          <w:color w:val="000000"/>
        </w:rPr>
        <w:t xml:space="preserve">-A, Requirements, and VM-C, Actuarial Guidelines, as well as other </w:t>
      </w:r>
      <w:r w:rsidR="00552043">
        <w:rPr>
          <w:rFonts w:cstheme="minorHAnsi"/>
          <w:color w:val="000000"/>
        </w:rPr>
        <w:t>VM</w:t>
      </w:r>
      <w:r w:rsidRPr="00B41B3C">
        <w:rPr>
          <w:rFonts w:cstheme="minorHAnsi"/>
          <w:color w:val="000000"/>
        </w:rPr>
        <w:t xml:space="preserve"> requirements. This process include</w:t>
      </w:r>
      <w:r w:rsidR="00B952D7">
        <w:rPr>
          <w:rFonts w:cstheme="minorHAnsi"/>
          <w:color w:val="000000"/>
        </w:rPr>
        <w:t>s</w:t>
      </w:r>
      <w:r w:rsidRPr="00B41B3C">
        <w:rPr>
          <w:rFonts w:cstheme="minorHAnsi"/>
          <w:color w:val="000000"/>
        </w:rPr>
        <w:t xml:space="preserve"> the receipt of periodic reports on changes to the </w:t>
      </w:r>
      <w:r w:rsidR="00552043">
        <w:rPr>
          <w:rFonts w:cstheme="minorHAnsi"/>
          <w:color w:val="000000"/>
        </w:rPr>
        <w:t>VM</w:t>
      </w:r>
      <w:r w:rsidRPr="00B41B3C">
        <w:rPr>
          <w:rFonts w:cstheme="minorHAnsi"/>
          <w:color w:val="000000"/>
        </w:rPr>
        <w:t xml:space="preserve"> on items that require coordination. To facilitate the coordination, the Task Force provide</w:t>
      </w:r>
      <w:r w:rsidR="00B952D7">
        <w:rPr>
          <w:rFonts w:cstheme="minorHAnsi"/>
          <w:color w:val="000000"/>
        </w:rPr>
        <w:t>s</w:t>
      </w:r>
      <w:r w:rsidRPr="00B41B3C">
        <w:rPr>
          <w:rFonts w:cstheme="minorHAnsi"/>
          <w:color w:val="000000"/>
        </w:rPr>
        <w:t xml:space="preserve"> to the Working Group a memorandum of </w:t>
      </w:r>
      <w:r w:rsidR="00552043">
        <w:rPr>
          <w:rFonts w:cstheme="minorHAnsi"/>
          <w:color w:val="000000"/>
        </w:rPr>
        <w:t>VM</w:t>
      </w:r>
      <w:r w:rsidRPr="00B41B3C">
        <w:rPr>
          <w:rFonts w:cstheme="minorHAnsi"/>
          <w:color w:val="000000"/>
        </w:rPr>
        <w:t xml:space="preserve"> amendments, actuarial guidelines and valuation related NAIC model revisions. This memorandum provides the Working Group updates to the publications since the 202</w:t>
      </w:r>
      <w:r w:rsidR="00931F67">
        <w:rPr>
          <w:rFonts w:cstheme="minorHAnsi"/>
          <w:color w:val="000000"/>
        </w:rPr>
        <w:t>5</w:t>
      </w:r>
      <w:r w:rsidRPr="00B41B3C">
        <w:rPr>
          <w:rFonts w:cstheme="minorHAnsi"/>
          <w:color w:val="000000"/>
        </w:rPr>
        <w:t xml:space="preserve"> NAIC </w:t>
      </w:r>
      <w:r w:rsidR="00F47A11">
        <w:rPr>
          <w:rFonts w:cstheme="minorHAnsi"/>
          <w:color w:val="000000"/>
        </w:rPr>
        <w:t>Summer</w:t>
      </w:r>
      <w:r w:rsidRPr="00B41B3C">
        <w:rPr>
          <w:rFonts w:cstheme="minorHAnsi"/>
          <w:color w:val="000000"/>
        </w:rPr>
        <w:t xml:space="preserve"> Meeting.</w:t>
      </w:r>
    </w:p>
    <w:p w14:paraId="786DE91F" w14:textId="77777777" w:rsidR="00CF03E2" w:rsidRPr="00B41B3C" w:rsidRDefault="00CF03E2" w:rsidP="00885139">
      <w:pPr>
        <w:spacing w:after="0" w:line="280" w:lineRule="exact"/>
        <w:jc w:val="both"/>
        <w:rPr>
          <w:rFonts w:cstheme="minorHAnsi"/>
          <w:color w:val="000000"/>
        </w:rPr>
      </w:pPr>
    </w:p>
    <w:p w14:paraId="2B953F3A" w14:textId="34C8D813" w:rsidR="00CF03E2" w:rsidRPr="00D8281A" w:rsidRDefault="00CF03E2" w:rsidP="000A4BC3">
      <w:pPr>
        <w:spacing w:after="0" w:line="280" w:lineRule="exact"/>
        <w:jc w:val="both"/>
        <w:rPr>
          <w:rFonts w:cstheme="minorHAnsi"/>
          <w:color w:val="000000"/>
        </w:rPr>
      </w:pPr>
      <w:r w:rsidRPr="00B41B3C">
        <w:rPr>
          <w:rFonts w:cstheme="minorHAnsi"/>
          <w:b/>
          <w:bCs/>
          <w:color w:val="000000"/>
        </w:rPr>
        <w:t>Valuation Manual</w:t>
      </w:r>
      <w:r w:rsidRPr="00B41B3C">
        <w:rPr>
          <w:rFonts w:cstheme="minorHAnsi"/>
          <w:color w:val="000000"/>
        </w:rPr>
        <w:t xml:space="preserve"> – Attachment A to this memo includes a detailed listing of the amendments made to the </w:t>
      </w:r>
      <w:r w:rsidR="00C44434">
        <w:rPr>
          <w:rFonts w:cstheme="minorHAnsi"/>
          <w:color w:val="000000"/>
        </w:rPr>
        <w:t>VM</w:t>
      </w:r>
      <w:r w:rsidRPr="00B41B3C">
        <w:rPr>
          <w:rFonts w:cstheme="minorHAnsi"/>
          <w:color w:val="000000"/>
        </w:rPr>
        <w:t xml:space="preserve"> since the 202</w:t>
      </w:r>
      <w:r w:rsidR="00931F67">
        <w:rPr>
          <w:rFonts w:cstheme="minorHAnsi"/>
          <w:color w:val="000000"/>
        </w:rPr>
        <w:t>5</w:t>
      </w:r>
      <w:r w:rsidRPr="00B41B3C">
        <w:rPr>
          <w:rFonts w:cstheme="minorHAnsi"/>
          <w:color w:val="000000"/>
        </w:rPr>
        <w:t xml:space="preserve"> NAIC Summer Meeting. The amendments were adopted by the Life Insurance and Annuities (A) Committee </w:t>
      </w:r>
      <w:r w:rsidRPr="00A56129">
        <w:rPr>
          <w:rFonts w:cstheme="minorHAnsi"/>
          <w:color w:val="000000"/>
        </w:rPr>
        <w:t xml:space="preserve">on </w:t>
      </w:r>
      <w:r w:rsidR="00772A4E" w:rsidRPr="00A56129">
        <w:rPr>
          <w:rFonts w:cstheme="minorHAnsi"/>
          <w:color w:val="000000"/>
        </w:rPr>
        <w:t>July</w:t>
      </w:r>
      <w:r w:rsidRPr="00A56129">
        <w:rPr>
          <w:rFonts w:cstheme="minorHAnsi"/>
          <w:color w:val="000000"/>
        </w:rPr>
        <w:t xml:space="preserve"> </w:t>
      </w:r>
      <w:r w:rsidR="00BB7FE3" w:rsidRPr="00A56129">
        <w:rPr>
          <w:rFonts w:cstheme="minorHAnsi"/>
          <w:color w:val="000000"/>
        </w:rPr>
        <w:t>1</w:t>
      </w:r>
      <w:r w:rsidR="00A56129" w:rsidRPr="00A56129">
        <w:rPr>
          <w:rFonts w:cstheme="minorHAnsi"/>
          <w:color w:val="000000"/>
        </w:rPr>
        <w:t>3</w:t>
      </w:r>
      <w:r w:rsidRPr="00A56129">
        <w:rPr>
          <w:rFonts w:cstheme="minorHAnsi"/>
          <w:color w:val="000000"/>
        </w:rPr>
        <w:t>,</w:t>
      </w:r>
      <w:r w:rsidR="003E437A" w:rsidRPr="00A56129">
        <w:rPr>
          <w:rFonts w:cstheme="minorHAnsi"/>
          <w:color w:val="000000"/>
        </w:rPr>
        <w:t xml:space="preserve"> </w:t>
      </w:r>
      <w:r w:rsidRPr="00A56129">
        <w:rPr>
          <w:rFonts w:cstheme="minorHAnsi"/>
          <w:color w:val="000000"/>
        </w:rPr>
        <w:t>202</w:t>
      </w:r>
      <w:r w:rsidR="00A56129" w:rsidRPr="00A56129">
        <w:rPr>
          <w:rFonts w:cstheme="minorHAnsi"/>
          <w:color w:val="000000"/>
        </w:rPr>
        <w:t>6</w:t>
      </w:r>
      <w:r w:rsidR="002711B3">
        <w:rPr>
          <w:rFonts w:cstheme="minorHAnsi"/>
          <w:color w:val="000000"/>
        </w:rPr>
        <w:t>.</w:t>
      </w:r>
      <w:r w:rsidR="003E437A">
        <w:rPr>
          <w:rFonts w:cstheme="minorHAnsi"/>
          <w:color w:val="000000"/>
        </w:rPr>
        <w:t xml:space="preserve"> </w:t>
      </w:r>
      <w:r w:rsidR="00A363B2">
        <w:rPr>
          <w:rFonts w:cstheme="minorHAnsi"/>
          <w:color w:val="000000"/>
        </w:rPr>
        <w:t xml:space="preserve">The </w:t>
      </w:r>
      <w:r w:rsidR="0030450D">
        <w:rPr>
          <w:rFonts w:cstheme="minorHAnsi"/>
          <w:color w:val="000000"/>
        </w:rPr>
        <w:t>full amendments package adopted by the A Committee is available at</w:t>
      </w:r>
      <w:r w:rsidR="00316CD4">
        <w:rPr>
          <w:rFonts w:cstheme="minorHAnsi"/>
          <w:color w:val="000000"/>
        </w:rPr>
        <w:t xml:space="preserve"> </w:t>
      </w:r>
      <w:hyperlink r:id="rId13" w:history="1">
        <w:r w:rsidR="00316CD4" w:rsidRPr="00560682">
          <w:rPr>
            <w:rStyle w:val="Hyperlink"/>
            <w:rFonts w:cstheme="minorHAnsi"/>
          </w:rPr>
          <w:t>https://content.naic.org/pbr_data.htm</w:t>
        </w:r>
      </w:hyperlink>
      <w:r w:rsidR="00316CD4">
        <w:rPr>
          <w:rFonts w:cstheme="minorHAnsi"/>
          <w:color w:val="000000"/>
        </w:rPr>
        <w:t xml:space="preserve"> under the “Next Year” subsection of the </w:t>
      </w:r>
      <w:r w:rsidR="00003555">
        <w:rPr>
          <w:rFonts w:cstheme="minorHAnsi"/>
          <w:color w:val="000000"/>
        </w:rPr>
        <w:t xml:space="preserve">“Valuation Manual” website section. </w:t>
      </w:r>
      <w:r w:rsidR="00A56129">
        <w:rPr>
          <w:rFonts w:cstheme="minorHAnsi"/>
          <w:color w:val="000000"/>
        </w:rPr>
        <w:t>All</w:t>
      </w:r>
      <w:r w:rsidR="002711B3">
        <w:rPr>
          <w:rFonts w:cstheme="minorHAnsi"/>
          <w:color w:val="000000"/>
        </w:rPr>
        <w:t xml:space="preserve"> </w:t>
      </w:r>
      <w:r w:rsidR="002711B3" w:rsidRPr="00D8281A">
        <w:rPr>
          <w:rFonts w:cstheme="minorHAnsi"/>
          <w:color w:val="000000"/>
        </w:rPr>
        <w:t>t</w:t>
      </w:r>
      <w:r w:rsidRPr="00D8281A">
        <w:rPr>
          <w:rFonts w:cstheme="minorHAnsi"/>
          <w:color w:val="000000"/>
        </w:rPr>
        <w:t xml:space="preserve">he amendments </w:t>
      </w:r>
      <w:r w:rsidR="00FB7355" w:rsidRPr="00D8281A">
        <w:rPr>
          <w:rFonts w:cstheme="minorHAnsi"/>
          <w:color w:val="000000"/>
        </w:rPr>
        <w:t>will be considered</w:t>
      </w:r>
      <w:r w:rsidRPr="00D8281A">
        <w:rPr>
          <w:rFonts w:cstheme="minorHAnsi"/>
          <w:color w:val="000000"/>
        </w:rPr>
        <w:t xml:space="preserve"> by the Executive (EX) Committee and Plenary at the 202</w:t>
      </w:r>
      <w:r w:rsidR="00931F67" w:rsidRPr="00D8281A">
        <w:rPr>
          <w:rFonts w:cstheme="minorHAnsi"/>
          <w:color w:val="000000"/>
        </w:rPr>
        <w:t>6</w:t>
      </w:r>
      <w:r w:rsidRPr="00D8281A">
        <w:rPr>
          <w:rFonts w:cstheme="minorHAnsi"/>
          <w:color w:val="000000"/>
        </w:rPr>
        <w:t xml:space="preserve"> NAIC Summer Meeting.</w:t>
      </w:r>
    </w:p>
    <w:p w14:paraId="5A2E2378" w14:textId="77777777" w:rsidR="0076519A" w:rsidRPr="00D8281A" w:rsidRDefault="0076519A" w:rsidP="00885139">
      <w:pPr>
        <w:spacing w:after="0" w:line="280" w:lineRule="exact"/>
        <w:jc w:val="both"/>
        <w:rPr>
          <w:rFonts w:cstheme="minorHAnsi"/>
          <w:color w:val="000000"/>
        </w:rPr>
      </w:pPr>
    </w:p>
    <w:p w14:paraId="0549E121" w14:textId="0BF04FFD" w:rsidR="0076519A" w:rsidRPr="00036D07" w:rsidRDefault="00035439" w:rsidP="00885139">
      <w:pPr>
        <w:spacing w:after="0" w:line="280" w:lineRule="exact"/>
        <w:jc w:val="both"/>
        <w:rPr>
          <w:rFonts w:cstheme="minorHAnsi"/>
          <w:color w:val="000000"/>
        </w:rPr>
      </w:pPr>
      <w:r w:rsidRPr="00036D07">
        <w:rPr>
          <w:rFonts w:cstheme="minorHAnsi"/>
          <w:color w:val="000000"/>
        </w:rPr>
        <w:t xml:space="preserve">The </w:t>
      </w:r>
      <w:r w:rsidR="00D12EAD" w:rsidRPr="00036D07">
        <w:rPr>
          <w:rFonts w:cstheme="minorHAnsi"/>
          <w:color w:val="000000"/>
        </w:rPr>
        <w:t xml:space="preserve">Working Group </w:t>
      </w:r>
      <w:r w:rsidRPr="00036D07">
        <w:rPr>
          <w:rFonts w:cstheme="minorHAnsi"/>
          <w:color w:val="000000"/>
        </w:rPr>
        <w:t>should consider the following amendment, in particular:</w:t>
      </w:r>
    </w:p>
    <w:p w14:paraId="3780F98A" w14:textId="442DB503" w:rsidR="00E328A8" w:rsidRPr="00036D07" w:rsidRDefault="00942523" w:rsidP="00036D07">
      <w:pPr>
        <w:pStyle w:val="ListParagraph"/>
        <w:numPr>
          <w:ilvl w:val="0"/>
          <w:numId w:val="14"/>
        </w:numPr>
        <w:spacing w:line="280" w:lineRule="exact"/>
        <w:jc w:val="both"/>
        <w:rPr>
          <w:rFonts w:cstheme="minorHAnsi"/>
          <w:color w:val="000000"/>
          <w:sz w:val="22"/>
          <w:szCs w:val="22"/>
        </w:rPr>
      </w:pPr>
      <w:r w:rsidRPr="00036D07">
        <w:rPr>
          <w:rFonts w:asciiTheme="minorHAnsi" w:hAnsiTheme="minorHAnsi" w:cstheme="minorHAnsi"/>
          <w:color w:val="000000"/>
          <w:sz w:val="22"/>
          <w:szCs w:val="22"/>
        </w:rPr>
        <w:t>Amendment Proposal Form</w:t>
      </w:r>
      <w:r w:rsidR="00F2351E" w:rsidRPr="00036D07">
        <w:rPr>
          <w:rFonts w:asciiTheme="minorHAnsi" w:hAnsiTheme="minorHAnsi" w:cstheme="minorHAnsi"/>
          <w:color w:val="000000"/>
          <w:sz w:val="22"/>
          <w:szCs w:val="22"/>
        </w:rPr>
        <w:t xml:space="preserve"> (APF) 20</w:t>
      </w:r>
      <w:r w:rsidR="00860DEF" w:rsidRPr="00036D07">
        <w:rPr>
          <w:rFonts w:asciiTheme="minorHAnsi" w:hAnsiTheme="minorHAnsi" w:cstheme="minorHAnsi"/>
          <w:color w:val="000000"/>
          <w:sz w:val="22"/>
          <w:szCs w:val="22"/>
        </w:rPr>
        <w:t>26</w:t>
      </w:r>
      <w:r w:rsidR="00F2351E" w:rsidRPr="00036D07"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="00860DEF" w:rsidRPr="00036D07">
        <w:rPr>
          <w:rFonts w:asciiTheme="minorHAnsi" w:hAnsiTheme="minorHAnsi" w:cstheme="minorHAnsi"/>
          <w:color w:val="000000"/>
          <w:sz w:val="22"/>
          <w:szCs w:val="22"/>
        </w:rPr>
        <w:t>02</w:t>
      </w:r>
      <w:r w:rsidR="00F2351E" w:rsidRPr="00036D07">
        <w:rPr>
          <w:rFonts w:asciiTheme="minorHAnsi" w:hAnsiTheme="minorHAnsi" w:cstheme="minorHAnsi"/>
          <w:color w:val="000000"/>
          <w:sz w:val="22"/>
          <w:szCs w:val="22"/>
        </w:rPr>
        <w:t xml:space="preserve"> which </w:t>
      </w:r>
      <w:r w:rsidR="00860DEF" w:rsidRPr="00036D07">
        <w:rPr>
          <w:rFonts w:asciiTheme="minorHAnsi" w:hAnsiTheme="minorHAnsi" w:cstheme="minorHAnsi"/>
          <w:color w:val="000000"/>
          <w:sz w:val="22"/>
          <w:szCs w:val="22"/>
        </w:rPr>
        <w:t>updates VM-21 and VM-22 references to reflect IMR being attributed to a group of policies or contracts, not a group of assets.</w:t>
      </w:r>
      <w:r w:rsidR="00036D07" w:rsidRPr="00036D07">
        <w:rPr>
          <w:rFonts w:asciiTheme="minorHAnsi" w:hAnsiTheme="minorHAnsi" w:cstheme="minorHAnsi"/>
          <w:color w:val="000000"/>
          <w:sz w:val="22"/>
          <w:szCs w:val="22"/>
        </w:rPr>
        <w:t xml:space="preserve"> The IMR change did not modify the actual handling of IMR but was a clarification of the language in VM-21 and VM-22 to be consistent with existing language in VM-20.</w:t>
      </w:r>
    </w:p>
    <w:p w14:paraId="503126E1" w14:textId="019FC3DC" w:rsidR="00475E13" w:rsidRPr="00036D07" w:rsidRDefault="00E328A8" w:rsidP="00E328A8">
      <w:pPr>
        <w:pStyle w:val="ListParagraph"/>
        <w:numPr>
          <w:ilvl w:val="0"/>
          <w:numId w:val="14"/>
        </w:numPr>
        <w:spacing w:line="28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36D07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D8281A" w:rsidRPr="00036D07">
        <w:rPr>
          <w:rFonts w:asciiTheme="minorHAnsi" w:hAnsiTheme="minorHAnsi" w:cstheme="minorHAnsi"/>
          <w:color w:val="000000"/>
          <w:sz w:val="22"/>
          <w:szCs w:val="22"/>
        </w:rPr>
        <w:t xml:space="preserve">mendment Proposal Form (APF) 2025-15 updates </w:t>
      </w:r>
      <w:r w:rsidR="00E108D1" w:rsidRPr="00036D07">
        <w:rPr>
          <w:rFonts w:asciiTheme="minorHAnsi" w:hAnsiTheme="minorHAnsi" w:cstheme="minorHAnsi"/>
          <w:color w:val="000000"/>
          <w:sz w:val="22"/>
          <w:szCs w:val="22"/>
        </w:rPr>
        <w:t xml:space="preserve">VM </w:t>
      </w:r>
      <w:r w:rsidR="00D8281A" w:rsidRPr="00036D07">
        <w:rPr>
          <w:rFonts w:asciiTheme="minorHAnsi" w:hAnsiTheme="minorHAnsi" w:cstheme="minorHAnsi"/>
          <w:color w:val="000000"/>
          <w:sz w:val="22"/>
          <w:szCs w:val="22"/>
        </w:rPr>
        <w:t>guidance for credit rating mapping to use the more granular NAIC Designation Category and corrects how NAIC tables are accessed.</w:t>
      </w:r>
      <w:r w:rsidR="00475E13" w:rsidRPr="00036D07">
        <w:rPr>
          <w:rFonts w:asciiTheme="minorHAnsi" w:eastAsia="MS Mincho" w:hAnsiTheme="minorHAnsi" w:cstheme="minorHAnsi"/>
          <w:color w:val="000000"/>
          <w:sz w:val="22"/>
          <w:szCs w:val="22"/>
        </w:rPr>
        <w:t xml:space="preserve"> This coordinated VM references to</w:t>
      </w:r>
      <w:r w:rsidR="000C6A82" w:rsidRPr="00036D07">
        <w:rPr>
          <w:rFonts w:asciiTheme="minorHAnsi" w:eastAsia="MS Mincho" w:hAnsiTheme="minorHAnsi" w:cstheme="minorHAnsi"/>
          <w:color w:val="000000"/>
          <w:sz w:val="22"/>
          <w:szCs w:val="22"/>
        </w:rPr>
        <w:t xml:space="preserve"> reflect</w:t>
      </w:r>
      <w:r w:rsidR="00475E13" w:rsidRPr="00036D07">
        <w:rPr>
          <w:rFonts w:asciiTheme="minorHAnsi" w:eastAsia="MS Mincho" w:hAnsiTheme="minorHAnsi" w:cstheme="minorHAnsi"/>
          <w:color w:val="000000"/>
          <w:sz w:val="22"/>
          <w:szCs w:val="22"/>
        </w:rPr>
        <w:t xml:space="preserve"> chang</w:t>
      </w:r>
      <w:r w:rsidR="000C6A82" w:rsidRPr="00036D07">
        <w:rPr>
          <w:rFonts w:asciiTheme="minorHAnsi" w:eastAsia="MS Mincho" w:hAnsiTheme="minorHAnsi" w:cstheme="minorHAnsi"/>
          <w:color w:val="000000"/>
          <w:sz w:val="22"/>
          <w:szCs w:val="22"/>
        </w:rPr>
        <w:t>e</w:t>
      </w:r>
      <w:r w:rsidR="00475E13" w:rsidRPr="00036D07">
        <w:rPr>
          <w:rFonts w:asciiTheme="minorHAnsi" w:eastAsia="MS Mincho" w:hAnsiTheme="minorHAnsi" w:cstheme="minorHAnsi"/>
          <w:color w:val="000000"/>
          <w:sz w:val="22"/>
          <w:szCs w:val="22"/>
        </w:rPr>
        <w:t>s in the annual statement and other NAIC tables, no action by the SAPWG is required.</w:t>
      </w:r>
    </w:p>
    <w:p w14:paraId="17A75C61" w14:textId="77777777" w:rsidR="00CF03E2" w:rsidRPr="00D8281A" w:rsidRDefault="00CF03E2" w:rsidP="00885139">
      <w:pPr>
        <w:spacing w:after="0" w:line="280" w:lineRule="exact"/>
        <w:jc w:val="both"/>
        <w:rPr>
          <w:rFonts w:cstheme="minorHAnsi"/>
          <w:color w:val="000000"/>
        </w:rPr>
      </w:pPr>
    </w:p>
    <w:p w14:paraId="6D64BF96" w14:textId="5F9CFB89" w:rsidR="00EB0AAF" w:rsidRPr="00B41B3C" w:rsidRDefault="00CF03E2" w:rsidP="00EB0AAF">
      <w:pPr>
        <w:spacing w:after="0" w:line="280" w:lineRule="exact"/>
        <w:rPr>
          <w:rFonts w:cstheme="minorHAnsi"/>
          <w:color w:val="000000"/>
        </w:rPr>
      </w:pPr>
      <w:r w:rsidRPr="00D8281A">
        <w:rPr>
          <w:rFonts w:cstheme="minorHAnsi"/>
          <w:b/>
          <w:bCs/>
          <w:color w:val="000000"/>
        </w:rPr>
        <w:t>Actuarial Guidelines</w:t>
      </w:r>
      <w:r w:rsidRPr="00B41B3C">
        <w:rPr>
          <w:rFonts w:cstheme="minorHAnsi"/>
          <w:color w:val="000000"/>
        </w:rPr>
        <w:t xml:space="preserve"> </w:t>
      </w:r>
      <w:r w:rsidR="00EB0AAF" w:rsidRPr="00B41B3C">
        <w:rPr>
          <w:rFonts w:cstheme="minorHAnsi"/>
          <w:color w:val="000000"/>
        </w:rPr>
        <w:t>– Since the 202</w:t>
      </w:r>
      <w:r w:rsidR="00931F67">
        <w:rPr>
          <w:rFonts w:cstheme="minorHAnsi"/>
          <w:color w:val="000000"/>
        </w:rPr>
        <w:t>5</w:t>
      </w:r>
      <w:r w:rsidR="00EB0AAF" w:rsidRPr="00B41B3C">
        <w:rPr>
          <w:rFonts w:cstheme="minorHAnsi"/>
          <w:color w:val="000000"/>
        </w:rPr>
        <w:t xml:space="preserve"> NAIC Summer Meeting the Task Force has created or revised the actuarial guidelines created listed below:</w:t>
      </w:r>
    </w:p>
    <w:p w14:paraId="4D16C3FE" w14:textId="77777777" w:rsidR="00EB0AAF" w:rsidRPr="00B41B3C" w:rsidRDefault="00EB0AAF" w:rsidP="00EB0AAF">
      <w:pPr>
        <w:spacing w:after="0" w:line="280" w:lineRule="exact"/>
        <w:rPr>
          <w:rFonts w:cstheme="minorHAnsi"/>
          <w:color w:val="000000"/>
        </w:rPr>
      </w:pPr>
    </w:p>
    <w:p w14:paraId="2EC70B67" w14:textId="471BD215" w:rsidR="0066192E" w:rsidRPr="00931F67" w:rsidRDefault="00EB0AAF" w:rsidP="0066192E">
      <w:pPr>
        <w:spacing w:after="0" w:line="280" w:lineRule="exact"/>
        <w:rPr>
          <w:rFonts w:cstheme="minorHAnsi"/>
          <w:b/>
          <w:bCs/>
          <w:color w:val="000000"/>
          <w:highlight w:val="yellow"/>
        </w:rPr>
      </w:pPr>
      <w:r w:rsidRPr="00223B05">
        <w:rPr>
          <w:rFonts w:cstheme="minorHAnsi"/>
          <w:b/>
          <w:bCs/>
          <w:color w:val="000000"/>
        </w:rPr>
        <w:t xml:space="preserve">Actuarial Guideline </w:t>
      </w:r>
      <w:r w:rsidR="00223B05" w:rsidRPr="00223B05">
        <w:rPr>
          <w:rFonts w:cstheme="minorHAnsi"/>
          <w:b/>
          <w:bCs/>
          <w:color w:val="000000"/>
        </w:rPr>
        <w:t>XLIX-A</w:t>
      </w:r>
      <w:r w:rsidRPr="00223B05">
        <w:rPr>
          <w:rFonts w:cstheme="minorHAnsi"/>
          <w:b/>
          <w:bCs/>
          <w:color w:val="000000"/>
        </w:rPr>
        <w:t xml:space="preserve"> (AG </w:t>
      </w:r>
      <w:r w:rsidR="00223B05">
        <w:rPr>
          <w:rFonts w:cstheme="minorHAnsi"/>
          <w:b/>
          <w:bCs/>
          <w:color w:val="000000"/>
        </w:rPr>
        <w:t>49-A</w:t>
      </w:r>
      <w:r w:rsidRPr="00223B05">
        <w:rPr>
          <w:rFonts w:cstheme="minorHAnsi"/>
          <w:b/>
          <w:bCs/>
          <w:color w:val="000000"/>
        </w:rPr>
        <w:t xml:space="preserve">) – </w:t>
      </w:r>
      <w:r w:rsidR="00223B05" w:rsidRPr="00223B05">
        <w:rPr>
          <w:rFonts w:cstheme="minorHAnsi"/>
          <w:b/>
          <w:bCs/>
          <w:color w:val="000000"/>
        </w:rPr>
        <w:t xml:space="preserve">Actuarial Guideline XLIX-A—The Application of the Life Illustrations Model Regulation to Policies with Index-Based Interest Sold </w:t>
      </w:r>
      <w:proofErr w:type="gramStart"/>
      <w:r w:rsidR="00223B05" w:rsidRPr="00223B05">
        <w:rPr>
          <w:rFonts w:cstheme="minorHAnsi"/>
          <w:b/>
          <w:bCs/>
          <w:color w:val="000000"/>
        </w:rPr>
        <w:t>On</w:t>
      </w:r>
      <w:proofErr w:type="gramEnd"/>
      <w:r w:rsidR="00223B05" w:rsidRPr="00223B05">
        <w:rPr>
          <w:rFonts w:cstheme="minorHAnsi"/>
          <w:b/>
          <w:bCs/>
          <w:color w:val="000000"/>
        </w:rPr>
        <w:t xml:space="preserve"> or After December 14, 2020 (AG 49-A)</w:t>
      </w:r>
      <w:r w:rsidR="0066192E" w:rsidRPr="00223B05">
        <w:rPr>
          <w:rFonts w:cstheme="minorHAnsi"/>
          <w:b/>
          <w:bCs/>
          <w:color w:val="000000"/>
        </w:rPr>
        <w:t xml:space="preserve"> </w:t>
      </w:r>
    </w:p>
    <w:p w14:paraId="637E6D9E" w14:textId="1AEA14D9" w:rsidR="00860DEF" w:rsidRPr="00860DEF" w:rsidRDefault="0091601F" w:rsidP="00860DEF">
      <w:pPr>
        <w:pStyle w:val="ListParagraph"/>
        <w:numPr>
          <w:ilvl w:val="0"/>
          <w:numId w:val="12"/>
        </w:numPr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860DEF">
        <w:rPr>
          <w:rFonts w:asciiTheme="minorHAnsi" w:hAnsiTheme="minorHAnsi" w:cstheme="minorHAnsi"/>
          <w:color w:val="000000"/>
          <w:sz w:val="22"/>
          <w:szCs w:val="22"/>
        </w:rPr>
        <w:t xml:space="preserve">AG </w:t>
      </w:r>
      <w:r w:rsidR="00860DEF" w:rsidRPr="00860DEF">
        <w:rPr>
          <w:rFonts w:asciiTheme="minorHAnsi" w:hAnsiTheme="minorHAnsi" w:cstheme="minorHAnsi"/>
          <w:color w:val="000000"/>
          <w:sz w:val="22"/>
          <w:szCs w:val="22"/>
        </w:rPr>
        <w:t>49-A clarified the requirements of AG49 Section 7.B and 7.C, to address the observed practice of including</w:t>
      </w:r>
    </w:p>
    <w:p w14:paraId="2BF2CC03" w14:textId="0440233D" w:rsidR="00A70148" w:rsidRPr="00860DEF" w:rsidRDefault="00860DEF" w:rsidP="00860DEF">
      <w:pPr>
        <w:pStyle w:val="ListParagraph"/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860DEF">
        <w:rPr>
          <w:rFonts w:asciiTheme="minorHAnsi" w:hAnsiTheme="minorHAnsi" w:cstheme="minorHAnsi"/>
          <w:color w:val="000000"/>
          <w:sz w:val="22"/>
          <w:szCs w:val="22"/>
        </w:rPr>
        <w:t xml:space="preserve">historical averages exceeding the maximum illustrated rate and </w:t>
      </w:r>
      <w:proofErr w:type="spellStart"/>
      <w:r w:rsidRPr="00860DEF">
        <w:rPr>
          <w:rFonts w:asciiTheme="minorHAnsi" w:hAnsiTheme="minorHAnsi" w:cstheme="minorHAnsi"/>
          <w:color w:val="000000"/>
          <w:sz w:val="22"/>
          <w:szCs w:val="22"/>
        </w:rPr>
        <w:t>backcasted</w:t>
      </w:r>
      <w:proofErr w:type="spellEnd"/>
      <w:r w:rsidRPr="00860DEF">
        <w:rPr>
          <w:rFonts w:asciiTheme="minorHAnsi" w:hAnsiTheme="minorHAnsi" w:cstheme="minorHAnsi"/>
          <w:color w:val="000000"/>
          <w:sz w:val="22"/>
          <w:szCs w:val="22"/>
        </w:rPr>
        <w:t xml:space="preserve"> performance.</w:t>
      </w:r>
    </w:p>
    <w:p w14:paraId="5FEB2722" w14:textId="6D005B7C" w:rsidR="00EB0AAF" w:rsidRPr="00860DEF" w:rsidRDefault="00EB0AAF" w:rsidP="0066192E">
      <w:pPr>
        <w:pStyle w:val="ListParagraph"/>
        <w:numPr>
          <w:ilvl w:val="0"/>
          <w:numId w:val="12"/>
        </w:numPr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860DEF">
        <w:rPr>
          <w:rFonts w:asciiTheme="minorHAnsi" w:hAnsiTheme="minorHAnsi" w:cstheme="minorHAnsi"/>
          <w:color w:val="000000"/>
          <w:sz w:val="22"/>
          <w:szCs w:val="22"/>
        </w:rPr>
        <w:t xml:space="preserve">Life Insurance and Annuities (A) Committee adoption – </w:t>
      </w:r>
      <w:r w:rsidR="00860DEF" w:rsidRPr="00860DEF">
        <w:rPr>
          <w:rFonts w:asciiTheme="minorHAnsi" w:hAnsiTheme="minorHAnsi" w:cstheme="minorHAnsi"/>
          <w:color w:val="000000"/>
          <w:sz w:val="22"/>
          <w:szCs w:val="22"/>
        </w:rPr>
        <w:t>November</w:t>
      </w:r>
      <w:r w:rsidRPr="00860DE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B063F" w:rsidRPr="00860DEF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="00860DEF" w:rsidRPr="00860DEF">
        <w:rPr>
          <w:rFonts w:asciiTheme="minorHAnsi" w:hAnsiTheme="minorHAnsi" w:cstheme="minorHAnsi"/>
          <w:color w:val="000000"/>
          <w:sz w:val="22"/>
          <w:szCs w:val="22"/>
        </w:rPr>
        <w:t>7</w:t>
      </w:r>
      <w:r w:rsidRPr="00860DEF">
        <w:rPr>
          <w:rFonts w:asciiTheme="minorHAnsi" w:hAnsiTheme="minorHAnsi" w:cstheme="minorHAnsi"/>
          <w:color w:val="000000"/>
          <w:sz w:val="22"/>
          <w:szCs w:val="22"/>
        </w:rPr>
        <w:t>, 202</w:t>
      </w:r>
      <w:r w:rsidR="0059145D" w:rsidRPr="00860DEF">
        <w:rPr>
          <w:rFonts w:asciiTheme="minorHAnsi" w:hAnsiTheme="minorHAnsi" w:cstheme="minorHAnsi"/>
          <w:color w:val="000000"/>
          <w:sz w:val="22"/>
          <w:szCs w:val="22"/>
        </w:rPr>
        <w:t>5</w:t>
      </w:r>
    </w:p>
    <w:p w14:paraId="0DC28443" w14:textId="5485E21B" w:rsidR="00C44434" w:rsidRPr="00860DEF" w:rsidRDefault="00EB0AAF" w:rsidP="00742074">
      <w:pPr>
        <w:pStyle w:val="ListParagraph"/>
        <w:numPr>
          <w:ilvl w:val="0"/>
          <w:numId w:val="12"/>
        </w:numPr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860DEF">
        <w:rPr>
          <w:rFonts w:asciiTheme="minorHAnsi" w:hAnsiTheme="minorHAnsi" w:cstheme="minorHAnsi"/>
          <w:color w:val="000000"/>
          <w:sz w:val="22"/>
          <w:szCs w:val="22"/>
        </w:rPr>
        <w:t xml:space="preserve">Executive (EX) Committee and Plenary </w:t>
      </w:r>
      <w:r w:rsidR="00EB063F" w:rsidRPr="00860DEF">
        <w:rPr>
          <w:rFonts w:asciiTheme="minorHAnsi" w:hAnsiTheme="minorHAnsi" w:cstheme="minorHAnsi"/>
          <w:color w:val="000000"/>
          <w:sz w:val="22"/>
          <w:szCs w:val="22"/>
        </w:rPr>
        <w:t xml:space="preserve">consideration for </w:t>
      </w:r>
      <w:r w:rsidRPr="00860DEF">
        <w:rPr>
          <w:rFonts w:asciiTheme="minorHAnsi" w:hAnsiTheme="minorHAnsi" w:cstheme="minorHAnsi"/>
          <w:color w:val="000000"/>
          <w:sz w:val="22"/>
          <w:szCs w:val="22"/>
        </w:rPr>
        <w:t>adoption –</w:t>
      </w:r>
      <w:r w:rsidR="00860DEF" w:rsidRPr="00860DEF">
        <w:rPr>
          <w:rFonts w:asciiTheme="minorHAnsi" w:hAnsiTheme="minorHAnsi" w:cstheme="minorHAnsi"/>
          <w:color w:val="000000"/>
          <w:sz w:val="22"/>
          <w:szCs w:val="22"/>
        </w:rPr>
        <w:t xml:space="preserve"> December 11</w:t>
      </w:r>
      <w:r w:rsidRPr="00860DEF">
        <w:rPr>
          <w:rFonts w:asciiTheme="minorHAnsi" w:hAnsiTheme="minorHAnsi" w:cstheme="minorHAnsi"/>
          <w:color w:val="000000"/>
          <w:sz w:val="22"/>
          <w:szCs w:val="22"/>
        </w:rPr>
        <w:t>, 202</w:t>
      </w:r>
      <w:r w:rsidR="0059145D" w:rsidRPr="00860DEF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="00860DEF" w:rsidRPr="00860DEF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4484936C" w14:textId="77777777" w:rsidR="00EB76AB" w:rsidRDefault="00EB76AB" w:rsidP="004A62BE">
      <w:pPr>
        <w:spacing w:after="0" w:line="280" w:lineRule="exact"/>
        <w:rPr>
          <w:rFonts w:cstheme="minorHAnsi"/>
          <w:b/>
          <w:bCs/>
          <w:color w:val="000000"/>
        </w:rPr>
      </w:pPr>
    </w:p>
    <w:p w14:paraId="1023C391" w14:textId="56BDA58A" w:rsidR="00742074" w:rsidRDefault="00CF03E2" w:rsidP="004A62BE">
      <w:pPr>
        <w:spacing w:after="0" w:line="280" w:lineRule="exact"/>
        <w:rPr>
          <w:rFonts w:cstheme="minorHAnsi"/>
          <w:color w:val="000000"/>
        </w:rPr>
      </w:pPr>
      <w:r w:rsidRPr="00B41B3C">
        <w:rPr>
          <w:rFonts w:cstheme="minorHAnsi"/>
          <w:b/>
          <w:bCs/>
          <w:color w:val="000000"/>
        </w:rPr>
        <w:t>NAIC Models</w:t>
      </w:r>
      <w:r w:rsidRPr="00B41B3C">
        <w:rPr>
          <w:rFonts w:cstheme="minorHAnsi"/>
          <w:color w:val="000000"/>
        </w:rPr>
        <w:t xml:space="preserve"> – The Task Force has not created or revised any models since the 202</w:t>
      </w:r>
      <w:r w:rsidR="00931F67">
        <w:rPr>
          <w:rFonts w:cstheme="minorHAnsi"/>
          <w:color w:val="000000"/>
        </w:rPr>
        <w:t>5</w:t>
      </w:r>
      <w:r w:rsidRPr="00B41B3C">
        <w:rPr>
          <w:rFonts w:cstheme="minorHAnsi"/>
          <w:color w:val="000000"/>
        </w:rPr>
        <w:t xml:space="preserve"> NAIC </w:t>
      </w:r>
      <w:r w:rsidR="00742074">
        <w:rPr>
          <w:rFonts w:cstheme="minorHAnsi"/>
          <w:color w:val="000000"/>
        </w:rPr>
        <w:t>Fall</w:t>
      </w:r>
      <w:r w:rsidRPr="00B41B3C">
        <w:rPr>
          <w:rFonts w:cstheme="minorHAnsi"/>
          <w:color w:val="000000"/>
        </w:rPr>
        <w:t xml:space="preserve"> Meetin</w:t>
      </w:r>
      <w:r w:rsidR="00FD439B">
        <w:rPr>
          <w:rFonts w:cstheme="minorHAnsi"/>
          <w:color w:val="000000"/>
        </w:rPr>
        <w:t>g.</w:t>
      </w:r>
    </w:p>
    <w:p w14:paraId="6DABF6BC" w14:textId="77777777" w:rsidR="00C53488" w:rsidRPr="00FD439B" w:rsidRDefault="00C53488" w:rsidP="004A62BE">
      <w:pPr>
        <w:spacing w:after="0" w:line="280" w:lineRule="exact"/>
        <w:rPr>
          <w:rFonts w:cstheme="minorHAnsi"/>
          <w:color w:val="000000"/>
        </w:rPr>
      </w:pPr>
    </w:p>
    <w:p w14:paraId="06E871AF" w14:textId="51FF6EFD" w:rsidR="00E75EE3" w:rsidRDefault="005929A0" w:rsidP="005929A0">
      <w:pPr>
        <w:tabs>
          <w:tab w:val="left" w:pos="1950"/>
        </w:tabs>
        <w:spacing w:after="0" w:line="280" w:lineRule="exact"/>
        <w:ind w:left="-450"/>
        <w:rPr>
          <w:rFonts w:ascii="AvenirNext LT Pro Regular" w:hAnsi="AvenirNext LT Pro Regular" w:cs="Calibri"/>
          <w:b/>
          <w:bCs/>
          <w:color w:val="000000"/>
        </w:rPr>
      </w:pPr>
      <w:r w:rsidRPr="005929A0">
        <w:rPr>
          <w:rFonts w:ascii="AvenirNext LT Pro Regular" w:hAnsi="AvenirNext LT Pro Regular" w:cs="Calibri"/>
          <w:b/>
          <w:bCs/>
          <w:color w:val="000000"/>
        </w:rPr>
        <w:t>Attachment A</w:t>
      </w:r>
    </w:p>
    <w:p w14:paraId="4E489816" w14:textId="77777777" w:rsidR="005929A0" w:rsidRPr="005929A0" w:rsidRDefault="005929A0" w:rsidP="005929A0">
      <w:pPr>
        <w:tabs>
          <w:tab w:val="left" w:pos="1950"/>
        </w:tabs>
        <w:spacing w:after="0" w:line="280" w:lineRule="exact"/>
        <w:rPr>
          <w:rFonts w:ascii="AvenirNext LT Pro Regular" w:hAnsi="AvenirNext LT Pro Regular" w:cs="Calibri"/>
          <w:b/>
          <w:bCs/>
          <w:color w:val="000000"/>
        </w:rPr>
      </w:pPr>
    </w:p>
    <w:tbl>
      <w:tblPr>
        <w:tblStyle w:val="LightShading-Accent1"/>
        <w:tblW w:w="11155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1577"/>
        <w:gridCol w:w="2378"/>
        <w:gridCol w:w="5580"/>
        <w:gridCol w:w="1620"/>
      </w:tblGrid>
      <w:tr w:rsidR="006D2958" w:rsidRPr="000168CF" w14:paraId="3083C57E" w14:textId="77777777" w:rsidTr="00B700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5984"/>
            <w:noWrap/>
            <w:vAlign w:val="center"/>
            <w:hideMark/>
          </w:tcPr>
          <w:p w14:paraId="51987A62" w14:textId="77777777" w:rsidR="006D2958" w:rsidRPr="000168CF" w:rsidRDefault="006D2958" w:rsidP="00743542">
            <w:pPr>
              <w:jc w:val="center"/>
              <w:rPr>
                <w:rFonts w:ascii="Times New Roman" w:eastAsia="Times New Roman" w:hAnsi="Times New Roman" w:cs="Times New Roman"/>
                <w:color w:val="FFFFFF"/>
              </w:rPr>
            </w:pPr>
            <w:r w:rsidRPr="000168CF">
              <w:rPr>
                <w:rFonts w:ascii="Times New Roman" w:eastAsia="Times New Roman" w:hAnsi="Times New Roman" w:cs="Times New Roman"/>
                <w:color w:val="FFFFFF" w:themeColor="background1"/>
              </w:rPr>
              <w:t>LATF VM Amendment</w:t>
            </w:r>
          </w:p>
        </w:tc>
        <w:tc>
          <w:tcPr>
            <w:tcW w:w="23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5984"/>
            <w:vAlign w:val="center"/>
            <w:hideMark/>
          </w:tcPr>
          <w:p w14:paraId="619BD2D2" w14:textId="77777777" w:rsidR="006D2958" w:rsidRPr="000168CF" w:rsidRDefault="006D2958" w:rsidP="007435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</w:rPr>
            </w:pPr>
            <w:r w:rsidRPr="000168CF">
              <w:rPr>
                <w:rFonts w:ascii="Times New Roman" w:eastAsia="Times New Roman" w:hAnsi="Times New Roman" w:cs="Times New Roman"/>
                <w:color w:val="FFFFFF" w:themeColor="background1"/>
              </w:rPr>
              <w:t>Valuation Manual Reference</w:t>
            </w:r>
          </w:p>
        </w:tc>
        <w:tc>
          <w:tcPr>
            <w:tcW w:w="55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5984"/>
            <w:vAlign w:val="center"/>
            <w:hideMark/>
          </w:tcPr>
          <w:p w14:paraId="31F3BE99" w14:textId="77777777" w:rsidR="006D2958" w:rsidRPr="000168CF" w:rsidRDefault="006D2958" w:rsidP="00743542">
            <w:pPr>
              <w:ind w:left="72" w:hanging="7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</w:rPr>
            </w:pPr>
            <w:r w:rsidRPr="000168CF">
              <w:rPr>
                <w:rFonts w:ascii="Times New Roman" w:eastAsia="Times New Roman" w:hAnsi="Times New Roman" w:cs="Times New Roman"/>
                <w:color w:val="FFFFFF"/>
              </w:rPr>
              <w:t>Valuation Manual Amendment Proposal Descriptions</w:t>
            </w:r>
          </w:p>
        </w:tc>
        <w:tc>
          <w:tcPr>
            <w:tcW w:w="16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5984"/>
            <w:vAlign w:val="center"/>
            <w:hideMark/>
          </w:tcPr>
          <w:p w14:paraId="6EE3B42B" w14:textId="77777777" w:rsidR="006D2958" w:rsidRPr="000168CF" w:rsidRDefault="006D2958" w:rsidP="007435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</w:rPr>
            </w:pPr>
            <w:r w:rsidRPr="000168CF">
              <w:rPr>
                <w:rFonts w:ascii="Times New Roman" w:eastAsia="Times New Roman" w:hAnsi="Times New Roman" w:cs="Times New Roman"/>
                <w:color w:val="FFFFFF" w:themeColor="background1"/>
              </w:rPr>
              <w:t>LATF Adoption Date</w:t>
            </w:r>
          </w:p>
        </w:tc>
      </w:tr>
      <w:tr w:rsidR="00A56129" w:rsidRPr="001F3C72" w14:paraId="6065D21A" w14:textId="77777777" w:rsidTr="00B70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vAlign w:val="center"/>
          </w:tcPr>
          <w:p w14:paraId="4A3C2D98" w14:textId="78839D9A" w:rsidR="00A56129" w:rsidRPr="00A56129" w:rsidRDefault="00A56129" w:rsidP="00A561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2025-05</w:t>
            </w:r>
          </w:p>
        </w:tc>
        <w:tc>
          <w:tcPr>
            <w:tcW w:w="237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01ADEA41" w14:textId="3C265201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Guidance notes under VM-20 Section 9.G.8 and VM-21 Section 4.A.5 </w:t>
            </w:r>
          </w:p>
        </w:tc>
        <w:tc>
          <w:tcPr>
            <w:tcW w:w="558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08005E6A" w14:textId="0BF8A666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This amendment provides clearer definitions and examples of what constitutes as “contractually guaranteed” revenue sharing income. </w:t>
            </w:r>
          </w:p>
        </w:tc>
        <w:tc>
          <w:tcPr>
            <w:tcW w:w="162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1132AEBA" w14:textId="6EE95029" w:rsidR="00A56129" w:rsidRPr="00A56129" w:rsidRDefault="00A56129" w:rsidP="00A56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10/2/25</w:t>
            </w:r>
          </w:p>
        </w:tc>
      </w:tr>
      <w:tr w:rsidR="00A56129" w:rsidRPr="00932114" w14:paraId="3BDD8F1F" w14:textId="77777777" w:rsidTr="00B70039">
        <w:trPr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vAlign w:val="center"/>
          </w:tcPr>
          <w:p w14:paraId="3D3A1769" w14:textId="4D38D809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2025-13</w:t>
            </w:r>
          </w:p>
        </w:tc>
        <w:tc>
          <w:tcPr>
            <w:tcW w:w="237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78A0DEC6" w14:textId="4DC52D3F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VM-20 Section </w:t>
            </w:r>
            <w:proofErr w:type="gramStart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3.C.1.h</w:t>
            </w:r>
            <w:proofErr w:type="gramEnd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.i</w:t>
            </w:r>
          </w:p>
        </w:tc>
        <w:tc>
          <w:tcPr>
            <w:tcW w:w="558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768EC502" w14:textId="77777777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This amendment clarifies the timing and documentation requirements for companies seeking approval to use </w:t>
            </w:r>
            <w:proofErr w:type="gramStart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a non</w:t>
            </w:r>
            <w:proofErr w:type="gramEnd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-</w:t>
            </w:r>
          </w:p>
          <w:p w14:paraId="4E8F44A5" w14:textId="5E28C32E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U.S. valuation mortality table in compliance with the </w:t>
            </w:r>
            <w:r w:rsidRPr="00A56129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</w:rPr>
              <w:t>Valuation Manual</w:t>
            </w: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69494B60" w14:textId="62299784" w:rsidR="00A56129" w:rsidRPr="00A56129" w:rsidRDefault="00A56129" w:rsidP="00A561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11/6/2025</w:t>
            </w:r>
          </w:p>
        </w:tc>
      </w:tr>
      <w:tr w:rsidR="00A56129" w:rsidRPr="00D516DA" w14:paraId="190FF4DD" w14:textId="77777777" w:rsidTr="00B70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vAlign w:val="center"/>
          </w:tcPr>
          <w:p w14:paraId="3DC86BA8" w14:textId="3E0889AD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2025-15</w:t>
            </w:r>
          </w:p>
        </w:tc>
        <w:tc>
          <w:tcPr>
            <w:tcW w:w="237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6C31C2B0" w14:textId="73A4A328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VM-20 Sections 9.F.3, 9.F.4, and Appendix 2</w:t>
            </w:r>
          </w:p>
        </w:tc>
        <w:tc>
          <w:tcPr>
            <w:tcW w:w="558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4C06D4AB" w14:textId="37500B33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updates guidance for credit rating mapping to use the more granular NAIC Designation Category and corrects how NAIC tables are accessed.</w:t>
            </w:r>
          </w:p>
        </w:tc>
        <w:tc>
          <w:tcPr>
            <w:tcW w:w="162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3D199257" w14:textId="38C21F1A" w:rsidR="00A56129" w:rsidRPr="00A56129" w:rsidRDefault="00A56129" w:rsidP="00A56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1/29/2026</w:t>
            </w:r>
          </w:p>
        </w:tc>
      </w:tr>
      <w:tr w:rsidR="00A56129" w:rsidRPr="001F3C72" w14:paraId="18825F49" w14:textId="77777777" w:rsidTr="00B70039">
        <w:trPr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vAlign w:val="center"/>
          </w:tcPr>
          <w:p w14:paraId="14319349" w14:textId="70640A36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2025-12</w:t>
            </w:r>
          </w:p>
        </w:tc>
        <w:tc>
          <w:tcPr>
            <w:tcW w:w="237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4CEC188F" w14:textId="2380DB36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VM-22 Section 3.C and VM-31 Section </w:t>
            </w:r>
            <w:proofErr w:type="gramStart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3.F.</w:t>
            </w:r>
            <w:proofErr w:type="gramEnd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14</w:t>
            </w:r>
          </w:p>
        </w:tc>
        <w:tc>
          <w:tcPr>
            <w:tcW w:w="558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1876F2E7" w14:textId="73A00294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strengthens disclosure expectations and clarifies the role of the VM-22 Standard Projection Amount (SPA). It also reinforces credibility standards for company assumptions and confirms that the SPA is not a safe harbor.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2651504D" w14:textId="1797C8B5" w:rsidR="00A56129" w:rsidRPr="00A56129" w:rsidRDefault="00A56129" w:rsidP="00A561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2/26/2026</w:t>
            </w:r>
          </w:p>
        </w:tc>
      </w:tr>
      <w:tr w:rsidR="00A56129" w:rsidRPr="007A6454" w14:paraId="651A5033" w14:textId="77777777" w:rsidTr="00B70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vAlign w:val="center"/>
          </w:tcPr>
          <w:p w14:paraId="5C8E27AB" w14:textId="3225D067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2025-16</w:t>
            </w:r>
          </w:p>
        </w:tc>
        <w:tc>
          <w:tcPr>
            <w:tcW w:w="237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2181EA01" w14:textId="77777777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VM-20 Section 7.E.1.g, </w:t>
            </w:r>
          </w:p>
          <w:p w14:paraId="0FFAED3A" w14:textId="77777777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VM-21 Section 4.D.4.b, and </w:t>
            </w:r>
          </w:p>
          <w:p w14:paraId="5494B525" w14:textId="286B7AC7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VM-22 Section </w:t>
            </w:r>
            <w:proofErr w:type="gramStart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4.D.3.b</w:t>
            </w:r>
            <w:proofErr w:type="gramEnd"/>
          </w:p>
        </w:tc>
        <w:tc>
          <w:tcPr>
            <w:tcW w:w="558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67F6271A" w14:textId="65312DD7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implements a consistent credit quality blend for the reinvestment guardrail across VM-20, VM-21, and VM-22.</w:t>
            </w:r>
          </w:p>
        </w:tc>
        <w:tc>
          <w:tcPr>
            <w:tcW w:w="162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69470867" w14:textId="01DA0159" w:rsidR="00A56129" w:rsidRPr="00A56129" w:rsidRDefault="00A56129" w:rsidP="00A56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3/21/2026</w:t>
            </w:r>
          </w:p>
        </w:tc>
      </w:tr>
      <w:tr w:rsidR="00A56129" w:rsidRPr="001F3C72" w14:paraId="3CA0D756" w14:textId="77777777" w:rsidTr="00B70039">
        <w:trPr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vAlign w:val="center"/>
          </w:tcPr>
          <w:p w14:paraId="3D83AD3D" w14:textId="74104534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2025-17</w:t>
            </w:r>
          </w:p>
        </w:tc>
        <w:tc>
          <w:tcPr>
            <w:tcW w:w="237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7F99C889" w14:textId="23441B67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VM-20 Section </w:t>
            </w:r>
            <w:proofErr w:type="gramStart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5.G</w:t>
            </w:r>
            <w:proofErr w:type="gramEnd"/>
          </w:p>
        </w:tc>
        <w:tc>
          <w:tcPr>
            <w:tcW w:w="558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3EAAD210" w14:textId="77777777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allows reflection of an aggregation</w:t>
            </w:r>
          </w:p>
          <w:p w14:paraId="49AF25A2" w14:textId="3A498289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benefit in the VM-20 stochastic reserve.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5F43870D" w14:textId="6EA9A061" w:rsidR="00A56129" w:rsidRPr="00A56129" w:rsidRDefault="00A56129" w:rsidP="00A561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3/22/2026</w:t>
            </w:r>
          </w:p>
        </w:tc>
      </w:tr>
      <w:tr w:rsidR="00A56129" w:rsidRPr="001F3C72" w14:paraId="58F7B8BF" w14:textId="77777777" w:rsidTr="00B70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vAlign w:val="center"/>
          </w:tcPr>
          <w:p w14:paraId="0171E160" w14:textId="076FF510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2024-12</w:t>
            </w:r>
          </w:p>
        </w:tc>
        <w:tc>
          <w:tcPr>
            <w:tcW w:w="237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763224A4" w14:textId="77777777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VM-50 Sections 2.B and 4.B</w:t>
            </w:r>
          </w:p>
          <w:p w14:paraId="08DFDF45" w14:textId="7CB48F80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VM-51 Sections 2, New Section 3, Appendices 1-4, and New Appendix 5</w:t>
            </w:r>
          </w:p>
        </w:tc>
        <w:tc>
          <w:tcPr>
            <w:tcW w:w="558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0F8500CF" w14:textId="24A7CC47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establishes a Statistical Plan for Group Annuity Mortality and designates the NAIC as the Experience Reporting Agent.</w:t>
            </w:r>
          </w:p>
        </w:tc>
        <w:tc>
          <w:tcPr>
            <w:tcW w:w="162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7C7CC0A7" w14:textId="4A54E785" w:rsidR="00A56129" w:rsidRPr="00A56129" w:rsidRDefault="00A56129" w:rsidP="00A56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4/9/2026</w:t>
            </w:r>
          </w:p>
        </w:tc>
      </w:tr>
      <w:tr w:rsidR="00A56129" w:rsidRPr="001F3C72" w14:paraId="3601D4CB" w14:textId="77777777" w:rsidTr="00B70039">
        <w:trPr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vAlign w:val="center"/>
          </w:tcPr>
          <w:p w14:paraId="3277532D" w14:textId="3575D302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2026-02</w:t>
            </w:r>
          </w:p>
        </w:tc>
        <w:tc>
          <w:tcPr>
            <w:tcW w:w="237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26BEAC62" w14:textId="46529FC9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VM-21 Sections 4.A.7 and 4.D.1 and VM-22 Sections 4.A.7 and 4.D.1.iii</w:t>
            </w:r>
          </w:p>
        </w:tc>
        <w:tc>
          <w:tcPr>
            <w:tcW w:w="558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7BE7E691" w14:textId="33FB0027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updates VM-21 and VM-22 references to reflect IMR being attributed to a group of policies or contracts, not a group of assets.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0A854702" w14:textId="548ADD17" w:rsidR="00A56129" w:rsidRPr="00A56129" w:rsidRDefault="00A56129" w:rsidP="00A561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4/30/2026</w:t>
            </w:r>
          </w:p>
        </w:tc>
      </w:tr>
      <w:tr w:rsidR="00A56129" w:rsidRPr="001F3C72" w14:paraId="76CA844B" w14:textId="77777777" w:rsidTr="00B70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vAlign w:val="center"/>
          </w:tcPr>
          <w:p w14:paraId="7F4D4B01" w14:textId="257B2533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2026-03</w:t>
            </w:r>
          </w:p>
        </w:tc>
        <w:tc>
          <w:tcPr>
            <w:tcW w:w="237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5CFAEDA5" w14:textId="6B5967D3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VM-22 Section </w:t>
            </w:r>
            <w:proofErr w:type="gramStart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6.C.</w:t>
            </w:r>
            <w:proofErr w:type="gramEnd"/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5</w:t>
            </w:r>
          </w:p>
        </w:tc>
        <w:tc>
          <w:tcPr>
            <w:tcW w:w="558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217BAF41" w14:textId="39766056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clarifies calculation mechanics in the VM-22 SPA dynamic lapse formula, specifically in the Market Factor and Rate Factor formulas.</w:t>
            </w:r>
          </w:p>
        </w:tc>
        <w:tc>
          <w:tcPr>
            <w:tcW w:w="162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20FF2210" w14:textId="662F787C" w:rsidR="00A56129" w:rsidRPr="00A56129" w:rsidRDefault="00A56129" w:rsidP="00A56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4/30/2026</w:t>
            </w:r>
          </w:p>
        </w:tc>
      </w:tr>
      <w:tr w:rsidR="00A56129" w:rsidRPr="001F3C72" w14:paraId="5FB8AC7A" w14:textId="77777777" w:rsidTr="00B70039">
        <w:trPr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vAlign w:val="center"/>
          </w:tcPr>
          <w:p w14:paraId="52423232" w14:textId="6F3B1F17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hAnsi="Times New Roman" w:cs="Times New Roman"/>
                <w:color w:val="auto"/>
                <w:sz w:val="20"/>
              </w:rPr>
              <w:t>2025-14</w:t>
            </w:r>
          </w:p>
        </w:tc>
        <w:tc>
          <w:tcPr>
            <w:tcW w:w="237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508C993B" w14:textId="115CCE71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hAnsi="Times New Roman" w:cs="Times New Roman"/>
                <w:color w:val="auto"/>
                <w:sz w:val="20"/>
              </w:rPr>
              <w:t xml:space="preserve">Section II, VM-21 Section 6.C.9, and VM-V Section </w:t>
            </w:r>
            <w:proofErr w:type="gramStart"/>
            <w:r w:rsidRPr="00A56129">
              <w:rPr>
                <w:rFonts w:ascii="Times New Roman" w:hAnsi="Times New Roman" w:cs="Times New Roman"/>
                <w:color w:val="auto"/>
                <w:sz w:val="20"/>
              </w:rPr>
              <w:t>1.</w:t>
            </w:r>
            <w:r w:rsidR="001310C8">
              <w:rPr>
                <w:rFonts w:ascii="Times New Roman" w:hAnsi="Times New Roman" w:cs="Times New Roman"/>
                <w:color w:val="auto"/>
                <w:sz w:val="20"/>
              </w:rPr>
              <w:t>A.</w:t>
            </w:r>
            <w:proofErr w:type="gramEnd"/>
            <w:r w:rsidR="001310C8">
              <w:rPr>
                <w:rFonts w:ascii="Times New Roman" w:hAnsi="Times New Roman" w:cs="Times New Roman"/>
                <w:color w:val="auto"/>
                <w:sz w:val="20"/>
              </w:rPr>
              <w:t>2</w:t>
            </w:r>
          </w:p>
        </w:tc>
        <w:tc>
          <w:tcPr>
            <w:tcW w:w="558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3CDF49F2" w14:textId="529E323F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This amendment clarifies the reserving treatment for variable annuities in payout, specifically permitting classification as either variable annuities (consistent with their pre-annuitization treatment, subject to domiciliary commissioner </w:t>
            </w:r>
            <w:r w:rsidR="001310C8">
              <w:rPr>
                <w:rFonts w:ascii="Times New Roman" w:eastAsia="Times New Roman" w:hAnsi="Times New Roman" w:cs="Times New Roman"/>
                <w:color w:val="auto"/>
                <w:sz w:val="20"/>
              </w:rPr>
              <w:t>notification</w:t>
            </w: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) or as fixed annuities.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noWrap/>
            <w:vAlign w:val="center"/>
          </w:tcPr>
          <w:p w14:paraId="5D2496C3" w14:textId="6846F6F5" w:rsidR="00A56129" w:rsidRPr="00A56129" w:rsidRDefault="00A56129" w:rsidP="00A561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6/11/2026</w:t>
            </w:r>
          </w:p>
        </w:tc>
      </w:tr>
      <w:tr w:rsidR="00A56129" w:rsidRPr="001F3C72" w14:paraId="75F0A461" w14:textId="77777777" w:rsidTr="00B70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vAlign w:val="center"/>
          </w:tcPr>
          <w:p w14:paraId="4ABDA4E7" w14:textId="27FA2294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hAnsi="Times New Roman" w:cs="Times New Roman"/>
                <w:color w:val="auto"/>
                <w:sz w:val="20"/>
              </w:rPr>
              <w:t>2026-04</w:t>
            </w:r>
          </w:p>
        </w:tc>
        <w:tc>
          <w:tcPr>
            <w:tcW w:w="237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686C10ED" w14:textId="1338CD95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hAnsi="Times New Roman" w:cs="Times New Roman"/>
                <w:color w:val="auto"/>
                <w:sz w:val="20"/>
              </w:rPr>
              <w:t xml:space="preserve">VM-M Section </w:t>
            </w:r>
            <w:proofErr w:type="gramStart"/>
            <w:r w:rsidRPr="00A56129">
              <w:rPr>
                <w:rFonts w:ascii="Times New Roman" w:hAnsi="Times New Roman" w:cs="Times New Roman"/>
                <w:color w:val="auto"/>
                <w:sz w:val="20"/>
              </w:rPr>
              <w:t>1.H.</w:t>
            </w:r>
            <w:proofErr w:type="gramEnd"/>
            <w:r w:rsidRPr="00A56129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  <w:tc>
          <w:tcPr>
            <w:tcW w:w="558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14D23A3A" w14:textId="2615923F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clarifies that the 2017 CSO refers to the Loaded version of the tables unless Unloaded tables are specifically referenced.</w:t>
            </w:r>
          </w:p>
        </w:tc>
        <w:tc>
          <w:tcPr>
            <w:tcW w:w="162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60108CA6" w14:textId="00BB2EFB" w:rsidR="00A56129" w:rsidRPr="00A56129" w:rsidRDefault="00A56129" w:rsidP="00A56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6/11/2026</w:t>
            </w:r>
          </w:p>
        </w:tc>
      </w:tr>
      <w:tr w:rsidR="00A56129" w:rsidRPr="001F3C72" w14:paraId="6965C97B" w14:textId="77777777" w:rsidTr="00B70039">
        <w:trPr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FFFFF" w:themeFill="background1"/>
            <w:vAlign w:val="center"/>
          </w:tcPr>
          <w:p w14:paraId="2BDF028B" w14:textId="0C53DAE3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2026-05</w:t>
            </w:r>
          </w:p>
        </w:tc>
        <w:tc>
          <w:tcPr>
            <w:tcW w:w="237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FFFFF" w:themeFill="background1"/>
            <w:noWrap/>
            <w:vAlign w:val="center"/>
          </w:tcPr>
          <w:p w14:paraId="25715827" w14:textId="274236F8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Various Sections of VM-20, VM-21, VM-22, VM-31, VM-50, and VM-51 </w:t>
            </w:r>
          </w:p>
        </w:tc>
        <w:tc>
          <w:tcPr>
            <w:tcW w:w="558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FFFFF" w:themeFill="background1"/>
            <w:noWrap/>
            <w:vAlign w:val="center"/>
          </w:tcPr>
          <w:p w14:paraId="084F98DA" w14:textId="64A73217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corrects editorial inconsistencies across multiple sections of the Valuation Manual, including reference errors and formatting discrepancies, to ensure clarity, consistency, and technical accuracy.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FFFFFF" w:themeFill="background1"/>
            <w:noWrap/>
            <w:vAlign w:val="center"/>
          </w:tcPr>
          <w:p w14:paraId="70A79E03" w14:textId="21C14EFE" w:rsidR="00A56129" w:rsidRPr="00A56129" w:rsidRDefault="00A56129" w:rsidP="00A561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6/11/2026</w:t>
            </w:r>
          </w:p>
        </w:tc>
      </w:tr>
      <w:tr w:rsidR="00A56129" w:rsidRPr="001F3C72" w14:paraId="4DA79A22" w14:textId="77777777" w:rsidTr="00B70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vAlign w:val="center"/>
          </w:tcPr>
          <w:p w14:paraId="00EF5F36" w14:textId="725E0496" w:rsidR="00A56129" w:rsidRPr="00A56129" w:rsidRDefault="00A56129" w:rsidP="00A56129">
            <w:pPr>
              <w:jc w:val="center"/>
              <w:rPr>
                <w:color w:val="auto"/>
              </w:rPr>
            </w:pPr>
            <w:r w:rsidRPr="00A561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2025-18</w:t>
            </w:r>
          </w:p>
        </w:tc>
        <w:tc>
          <w:tcPr>
            <w:tcW w:w="237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7A2440D4" w14:textId="6B5C3AE0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VM-22 Sections 1.A and 2.A </w:t>
            </w:r>
          </w:p>
        </w:tc>
        <w:tc>
          <w:tcPr>
            <w:tcW w:w="558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5BD7F748" w14:textId="0A2BB4D5" w:rsidR="00A56129" w:rsidRPr="00A56129" w:rsidRDefault="00A56129" w:rsidP="00A561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This amendment clarifies the scope of VM-22 with respect to deposit-type contracts.</w:t>
            </w:r>
          </w:p>
        </w:tc>
        <w:tc>
          <w:tcPr>
            <w:tcW w:w="162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D3DFEE"/>
            <w:noWrap/>
            <w:vAlign w:val="center"/>
          </w:tcPr>
          <w:p w14:paraId="07366AB0" w14:textId="27616DD8" w:rsidR="00A56129" w:rsidRPr="00A56129" w:rsidRDefault="00A56129" w:rsidP="00A561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6/11/2026</w:t>
            </w:r>
          </w:p>
        </w:tc>
      </w:tr>
      <w:tr w:rsidR="00A56129" w:rsidRPr="001F3C72" w14:paraId="1C71973F" w14:textId="77777777" w:rsidTr="00B70039">
        <w:trPr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7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vAlign w:val="center"/>
          </w:tcPr>
          <w:p w14:paraId="31D0ED09" w14:textId="583BAA01" w:rsidR="00A56129" w:rsidRPr="00A56129" w:rsidRDefault="00A56129" w:rsidP="00A561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2025-20</w:t>
            </w:r>
          </w:p>
        </w:tc>
        <w:tc>
          <w:tcPr>
            <w:tcW w:w="2378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222E37" w14:textId="0A3B879F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VM-22 Section 3.F and VM-31 Section </w:t>
            </w:r>
            <w:proofErr w:type="gramStart"/>
            <w:r w:rsidRPr="00A561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3.F.</w:t>
            </w:r>
            <w:proofErr w:type="gramEnd"/>
            <w:r w:rsidRPr="00A561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</w:t>
            </w:r>
          </w:p>
        </w:tc>
        <w:tc>
          <w:tcPr>
            <w:tcW w:w="558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53B372" w14:textId="17C46039" w:rsidR="00A56129" w:rsidRPr="00A56129" w:rsidRDefault="00A56129" w:rsidP="00A56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This amendment removes aggregation criteria for payout and deferred annuities in VM-22 and adds a disclosure in VM-31 for the aggregation benefit. 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17F07B" w14:textId="5ED7CE2F" w:rsidR="00A56129" w:rsidRPr="00A56129" w:rsidRDefault="00A56129" w:rsidP="00A561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56129">
              <w:rPr>
                <w:rFonts w:ascii="Times New Roman" w:eastAsia="Times New Roman" w:hAnsi="Times New Roman" w:cs="Times New Roman"/>
                <w:color w:val="auto"/>
                <w:sz w:val="20"/>
              </w:rPr>
              <w:t>6/11/2026</w:t>
            </w:r>
          </w:p>
        </w:tc>
      </w:tr>
    </w:tbl>
    <w:p w14:paraId="68036B6A" w14:textId="77777777" w:rsidR="00E50EEB" w:rsidRPr="00E50EEB" w:rsidRDefault="00E50EEB" w:rsidP="00B70039">
      <w:pPr>
        <w:rPr>
          <w:rFonts w:ascii="AvenirNext LT Pro Regular" w:hAnsi="AvenirNext LT Pro Regular" w:cs="Calibri"/>
          <w:sz w:val="19"/>
          <w:szCs w:val="19"/>
          <w:lang w:val="en-GB"/>
        </w:rPr>
      </w:pPr>
    </w:p>
    <w:sectPr w:rsidR="00E50EEB" w:rsidRPr="00E50EEB" w:rsidSect="00B7003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1080" w:right="1080" w:bottom="1080" w:left="1080" w:header="720" w:footer="57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6759D" w14:textId="77777777" w:rsidR="006E00A5" w:rsidRDefault="006E00A5" w:rsidP="007B033C">
      <w:pPr>
        <w:spacing w:after="0" w:line="240" w:lineRule="auto"/>
      </w:pPr>
      <w:r>
        <w:separator/>
      </w:r>
    </w:p>
  </w:endnote>
  <w:endnote w:type="continuationSeparator" w:id="0">
    <w:p w14:paraId="74FD8484" w14:textId="77777777" w:rsidR="006E00A5" w:rsidRDefault="006E00A5" w:rsidP="007B033C">
      <w:pPr>
        <w:spacing w:after="0" w:line="240" w:lineRule="auto"/>
      </w:pPr>
      <w:r>
        <w:continuationSeparator/>
      </w:r>
    </w:p>
  </w:endnote>
  <w:endnote w:type="continuationNotice" w:id="1">
    <w:p w14:paraId="510A4BDF" w14:textId="77777777" w:rsidR="006E00A5" w:rsidRDefault="006E00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enirNext LT Pro Regular">
    <w:altName w:val="Calibri"/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E6CB2" w14:textId="4A8498B4" w:rsidR="00CE48B3" w:rsidRDefault="00CE48B3" w:rsidP="00CE48B3">
    <w:pPr>
      <w:pStyle w:val="Footer"/>
      <w:tabs>
        <w:tab w:val="clear" w:pos="4680"/>
        <w:tab w:val="clear" w:pos="9360"/>
        <w:tab w:val="left" w:pos="5040"/>
      </w:tabs>
    </w:pPr>
    <w:r w:rsidRPr="001F1CC7">
      <w:rPr>
        <w:rFonts w:ascii="Calibri" w:hAnsi="Calibri" w:cs="Calibri"/>
        <w:sz w:val="20"/>
        <w:szCs w:val="20"/>
      </w:rPr>
      <w:t>© 2026 National Association of Insurance Commissione</w:t>
    </w:r>
    <w:r>
      <w:rPr>
        <w:rFonts w:ascii="Calibri" w:hAnsi="Calibri" w:cs="Calibri"/>
        <w:sz w:val="20"/>
        <w:szCs w:val="20"/>
      </w:rPr>
      <w:t>rs</w:t>
    </w:r>
    <w:r>
      <w:rPr>
        <w:rFonts w:ascii="Calibri" w:hAnsi="Calibri" w:cs="Calibri"/>
        <w:sz w:val="20"/>
        <w:szCs w:val="20"/>
      </w:rPr>
      <w:tab/>
    </w:r>
    <w:sdt>
      <w:sdtPr>
        <w:id w:val="-11759581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CE48B3">
          <w:rPr>
            <w:sz w:val="20"/>
            <w:szCs w:val="20"/>
          </w:rPr>
          <w:fldChar w:fldCharType="begin"/>
        </w:r>
        <w:r w:rsidRPr="00CE48B3">
          <w:rPr>
            <w:sz w:val="20"/>
            <w:szCs w:val="20"/>
          </w:rPr>
          <w:instrText xml:space="preserve"> PAGE   \* MERGEFORMAT </w:instrText>
        </w:r>
        <w:r w:rsidRPr="00CE48B3">
          <w:rPr>
            <w:sz w:val="20"/>
            <w:szCs w:val="20"/>
          </w:rPr>
          <w:fldChar w:fldCharType="separate"/>
        </w:r>
        <w:r w:rsidRPr="00CE48B3">
          <w:rPr>
            <w:noProof/>
            <w:sz w:val="20"/>
            <w:szCs w:val="20"/>
          </w:rPr>
          <w:t>2</w:t>
        </w:r>
        <w:r w:rsidRPr="00CE48B3">
          <w:rPr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59EFF" w14:textId="6CBD5D18" w:rsidR="00CE48B3" w:rsidRDefault="00CE48B3" w:rsidP="00CE48B3">
    <w:pPr>
      <w:pStyle w:val="Footer"/>
      <w:tabs>
        <w:tab w:val="clear" w:pos="4680"/>
        <w:tab w:val="clear" w:pos="9360"/>
        <w:tab w:val="left" w:pos="5040"/>
      </w:tabs>
    </w:pPr>
    <w:r w:rsidRPr="001F1CC7">
      <w:rPr>
        <w:rFonts w:ascii="Calibri" w:hAnsi="Calibri" w:cs="Calibri"/>
        <w:sz w:val="20"/>
        <w:szCs w:val="20"/>
      </w:rPr>
      <w:t>© 2026 National Association of Insurance Commissione</w:t>
    </w:r>
    <w:r>
      <w:rPr>
        <w:rFonts w:ascii="Calibri" w:hAnsi="Calibri" w:cs="Calibri"/>
        <w:sz w:val="20"/>
        <w:szCs w:val="20"/>
      </w:rPr>
      <w:t>rs</w:t>
    </w:r>
    <w:r>
      <w:t xml:space="preserve"> </w:t>
    </w:r>
    <w:r>
      <w:tab/>
    </w:r>
    <w:sdt>
      <w:sdtPr>
        <w:id w:val="-161905646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CE48B3">
          <w:rPr>
            <w:sz w:val="20"/>
            <w:szCs w:val="20"/>
          </w:rPr>
          <w:fldChar w:fldCharType="begin"/>
        </w:r>
        <w:r w:rsidRPr="00CE48B3">
          <w:rPr>
            <w:sz w:val="20"/>
            <w:szCs w:val="20"/>
          </w:rPr>
          <w:instrText xml:space="preserve"> PAGE   \* MERGEFORMAT </w:instrText>
        </w:r>
        <w:r w:rsidRPr="00CE48B3">
          <w:rPr>
            <w:sz w:val="20"/>
            <w:szCs w:val="20"/>
          </w:rPr>
          <w:fldChar w:fldCharType="separate"/>
        </w:r>
        <w:r w:rsidRPr="00CE48B3">
          <w:rPr>
            <w:noProof/>
            <w:sz w:val="20"/>
            <w:szCs w:val="20"/>
          </w:rPr>
          <w:t>2</w:t>
        </w:r>
        <w:r w:rsidRPr="00CE48B3">
          <w:rPr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2FD77" w14:textId="77777777" w:rsidR="006E00A5" w:rsidRDefault="006E00A5" w:rsidP="007B033C">
      <w:pPr>
        <w:spacing w:after="0" w:line="240" w:lineRule="auto"/>
      </w:pPr>
      <w:r>
        <w:separator/>
      </w:r>
    </w:p>
  </w:footnote>
  <w:footnote w:type="continuationSeparator" w:id="0">
    <w:p w14:paraId="2A065BE8" w14:textId="77777777" w:rsidR="006E00A5" w:rsidRDefault="006E00A5" w:rsidP="007B033C">
      <w:pPr>
        <w:spacing w:after="0" w:line="240" w:lineRule="auto"/>
      </w:pPr>
      <w:r>
        <w:continuationSeparator/>
      </w:r>
    </w:p>
  </w:footnote>
  <w:footnote w:type="continuationNotice" w:id="1">
    <w:p w14:paraId="22040FAD" w14:textId="77777777" w:rsidR="006E00A5" w:rsidRDefault="006E00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71F30" w14:textId="30FCEBD4" w:rsidR="00494574" w:rsidRDefault="00C53488" w:rsidP="00C53488">
    <w:pPr>
      <w:pStyle w:val="Header"/>
      <w:jc w:val="right"/>
      <w:rPr>
        <w:b/>
        <w:bCs/>
        <w:sz w:val="20"/>
        <w:szCs w:val="20"/>
      </w:rPr>
    </w:pPr>
    <w:r w:rsidRPr="00C53488">
      <w:rPr>
        <w:b/>
        <w:bCs/>
        <w:sz w:val="20"/>
        <w:szCs w:val="20"/>
      </w:rPr>
      <w:t>Attachment 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1AA74" w14:textId="6715C91D" w:rsidR="00C53488" w:rsidRPr="00C65077" w:rsidRDefault="00C53488" w:rsidP="000F03AC">
    <w:pPr>
      <w:pStyle w:val="Header"/>
      <w:jc w:val="right"/>
      <w:rPr>
        <w:rFonts w:cstheme="minorHAnsi"/>
        <w:b/>
      </w:rPr>
    </w:pPr>
    <w:r>
      <w:rPr>
        <w:noProof/>
      </w:rPr>
      <w:drawing>
        <wp:anchor distT="0" distB="0" distL="114300" distR="114300" simplePos="0" relativeHeight="251660289" behindDoc="1" locked="1" layoutInCell="1" allowOverlap="1" wp14:anchorId="5EA5654E" wp14:editId="0A2C4153">
          <wp:simplePos x="0" y="0"/>
          <wp:positionH relativeFrom="page">
            <wp:posOffset>689212</wp:posOffset>
          </wp:positionH>
          <wp:positionV relativeFrom="page">
            <wp:posOffset>457200</wp:posOffset>
          </wp:positionV>
          <wp:extent cx="3108960" cy="373677"/>
          <wp:effectExtent l="0" t="0" r="0" b="7620"/>
          <wp:wrapNone/>
          <wp:docPr id="1163502168" name="Picture 1163502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IC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8960" cy="3736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C53488">
      <w:rPr>
        <w:rFonts w:cstheme="minorHAnsi"/>
        <w:b/>
        <w:sz w:val="20"/>
        <w:szCs w:val="20"/>
      </w:rPr>
      <w:t>Attachment N</w:t>
    </w:r>
  </w:p>
  <w:p w14:paraId="5C0370F5" w14:textId="25480A33" w:rsidR="00393E4E" w:rsidRPr="00C53488" w:rsidRDefault="00C53488" w:rsidP="00C53488">
    <w:pPr>
      <w:pStyle w:val="Header"/>
      <w:pBdr>
        <w:bottom w:val="single" w:sz="12" w:space="31" w:color="auto"/>
      </w:pBdr>
      <w:rPr>
        <w:sz w:val="4"/>
        <w:szCs w:val="4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E1B3C"/>
    <w:multiLevelType w:val="hybridMultilevel"/>
    <w:tmpl w:val="01FCA0D2"/>
    <w:lvl w:ilvl="0" w:tplc="21D08F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2255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20E2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B462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DA22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5C93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D49F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ECDB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E4C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A3567"/>
    <w:multiLevelType w:val="multilevel"/>
    <w:tmpl w:val="F02A10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B6102"/>
    <w:multiLevelType w:val="hybridMultilevel"/>
    <w:tmpl w:val="9370D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53A97"/>
    <w:multiLevelType w:val="hybridMultilevel"/>
    <w:tmpl w:val="F02A1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C1D23"/>
    <w:multiLevelType w:val="hybridMultilevel"/>
    <w:tmpl w:val="197296F4"/>
    <w:lvl w:ilvl="0" w:tplc="7C2C00D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66A4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C459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2A09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E7E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9414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94A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3CD0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76DE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29E66F"/>
    <w:multiLevelType w:val="hybridMultilevel"/>
    <w:tmpl w:val="F3BC106F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C782B2D"/>
    <w:multiLevelType w:val="hybridMultilevel"/>
    <w:tmpl w:val="29423FAE"/>
    <w:lvl w:ilvl="0" w:tplc="671CFC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28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CC30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626B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92FA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BAFB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4E0A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AEF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1CAF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124373"/>
    <w:multiLevelType w:val="hybridMultilevel"/>
    <w:tmpl w:val="BE6496D8"/>
    <w:lvl w:ilvl="0" w:tplc="4AF650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86BA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0A4B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5CC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EF0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7A81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A83D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A47A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034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EF2AD3"/>
    <w:multiLevelType w:val="hybridMultilevel"/>
    <w:tmpl w:val="2ADC8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471AD"/>
    <w:multiLevelType w:val="hybridMultilevel"/>
    <w:tmpl w:val="7EA27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A03D0"/>
    <w:multiLevelType w:val="hybridMultilevel"/>
    <w:tmpl w:val="1B0E5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40472"/>
    <w:multiLevelType w:val="hybridMultilevel"/>
    <w:tmpl w:val="86247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A00F97"/>
    <w:multiLevelType w:val="hybridMultilevel"/>
    <w:tmpl w:val="AEDCADD2"/>
    <w:lvl w:ilvl="0" w:tplc="AD0A0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4453B"/>
    <w:multiLevelType w:val="multilevel"/>
    <w:tmpl w:val="49E2B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7E2636"/>
    <w:multiLevelType w:val="hybridMultilevel"/>
    <w:tmpl w:val="5DA88932"/>
    <w:lvl w:ilvl="0" w:tplc="C0D073E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C44C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94DA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56B4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38E0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844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E050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091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0037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7414499">
    <w:abstractNumId w:val="5"/>
  </w:num>
  <w:num w:numId="2" w16cid:durableId="1811433410">
    <w:abstractNumId w:val="0"/>
  </w:num>
  <w:num w:numId="3" w16cid:durableId="1529561440">
    <w:abstractNumId w:val="7"/>
  </w:num>
  <w:num w:numId="4" w16cid:durableId="2015110140">
    <w:abstractNumId w:val="4"/>
  </w:num>
  <w:num w:numId="5" w16cid:durableId="1900285137">
    <w:abstractNumId w:val="6"/>
  </w:num>
  <w:num w:numId="6" w16cid:durableId="1902206094">
    <w:abstractNumId w:val="14"/>
  </w:num>
  <w:num w:numId="7" w16cid:durableId="793911731">
    <w:abstractNumId w:val="3"/>
  </w:num>
  <w:num w:numId="8" w16cid:durableId="1850296163">
    <w:abstractNumId w:val="1"/>
  </w:num>
  <w:num w:numId="9" w16cid:durableId="1438603564">
    <w:abstractNumId w:val="12"/>
  </w:num>
  <w:num w:numId="10" w16cid:durableId="1957785394">
    <w:abstractNumId w:val="2"/>
  </w:num>
  <w:num w:numId="11" w16cid:durableId="1805006202">
    <w:abstractNumId w:val="9"/>
  </w:num>
  <w:num w:numId="12" w16cid:durableId="1575236685">
    <w:abstractNumId w:val="8"/>
  </w:num>
  <w:num w:numId="13" w16cid:durableId="2122072467">
    <w:abstractNumId w:val="11"/>
  </w:num>
  <w:num w:numId="14" w16cid:durableId="1335498391">
    <w:abstractNumId w:val="10"/>
  </w:num>
  <w:num w:numId="15" w16cid:durableId="13560787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04B"/>
    <w:rsid w:val="00003555"/>
    <w:rsid w:val="00010B1C"/>
    <w:rsid w:val="00014687"/>
    <w:rsid w:val="00021843"/>
    <w:rsid w:val="00027727"/>
    <w:rsid w:val="000336DF"/>
    <w:rsid w:val="00035439"/>
    <w:rsid w:val="00035F6F"/>
    <w:rsid w:val="00036D07"/>
    <w:rsid w:val="00036E76"/>
    <w:rsid w:val="0003708E"/>
    <w:rsid w:val="00053A56"/>
    <w:rsid w:val="0006224C"/>
    <w:rsid w:val="00070005"/>
    <w:rsid w:val="00080F66"/>
    <w:rsid w:val="0009430C"/>
    <w:rsid w:val="000A1957"/>
    <w:rsid w:val="000A266C"/>
    <w:rsid w:val="000A4BC3"/>
    <w:rsid w:val="000C6A82"/>
    <w:rsid w:val="000D76E2"/>
    <w:rsid w:val="000F03AC"/>
    <w:rsid w:val="00101E44"/>
    <w:rsid w:val="00101F04"/>
    <w:rsid w:val="00117918"/>
    <w:rsid w:val="00121B69"/>
    <w:rsid w:val="0012302F"/>
    <w:rsid w:val="00124559"/>
    <w:rsid w:val="0012752F"/>
    <w:rsid w:val="001310C8"/>
    <w:rsid w:val="00131E60"/>
    <w:rsid w:val="00154318"/>
    <w:rsid w:val="001638D9"/>
    <w:rsid w:val="00177870"/>
    <w:rsid w:val="001829E8"/>
    <w:rsid w:val="0019350B"/>
    <w:rsid w:val="00197577"/>
    <w:rsid w:val="001B2106"/>
    <w:rsid w:val="001B2AD4"/>
    <w:rsid w:val="001B5933"/>
    <w:rsid w:val="001B7630"/>
    <w:rsid w:val="001C21B6"/>
    <w:rsid w:val="001D1573"/>
    <w:rsid w:val="001D42B2"/>
    <w:rsid w:val="001F10B1"/>
    <w:rsid w:val="001F7821"/>
    <w:rsid w:val="00213060"/>
    <w:rsid w:val="00213194"/>
    <w:rsid w:val="00223B05"/>
    <w:rsid w:val="0022465A"/>
    <w:rsid w:val="002264C5"/>
    <w:rsid w:val="0022783C"/>
    <w:rsid w:val="002358AC"/>
    <w:rsid w:val="002515C7"/>
    <w:rsid w:val="00254829"/>
    <w:rsid w:val="002558E2"/>
    <w:rsid w:val="002711B3"/>
    <w:rsid w:val="002770E0"/>
    <w:rsid w:val="00280464"/>
    <w:rsid w:val="002822E6"/>
    <w:rsid w:val="002915ED"/>
    <w:rsid w:val="00296D57"/>
    <w:rsid w:val="002B06C5"/>
    <w:rsid w:val="002B2F6F"/>
    <w:rsid w:val="002C1E86"/>
    <w:rsid w:val="002C29E0"/>
    <w:rsid w:val="002E762F"/>
    <w:rsid w:val="002F1062"/>
    <w:rsid w:val="002F1273"/>
    <w:rsid w:val="002F701A"/>
    <w:rsid w:val="0030450D"/>
    <w:rsid w:val="003051AF"/>
    <w:rsid w:val="00316CD4"/>
    <w:rsid w:val="003264C1"/>
    <w:rsid w:val="00335B42"/>
    <w:rsid w:val="00345CAE"/>
    <w:rsid w:val="00354222"/>
    <w:rsid w:val="0036056A"/>
    <w:rsid w:val="00361EEF"/>
    <w:rsid w:val="00370879"/>
    <w:rsid w:val="00393E4E"/>
    <w:rsid w:val="003955B0"/>
    <w:rsid w:val="003B0DAB"/>
    <w:rsid w:val="003B3E07"/>
    <w:rsid w:val="003B4222"/>
    <w:rsid w:val="003C16A4"/>
    <w:rsid w:val="003C6EA1"/>
    <w:rsid w:val="003D1BA0"/>
    <w:rsid w:val="003E0F8F"/>
    <w:rsid w:val="003E437A"/>
    <w:rsid w:val="003F03A5"/>
    <w:rsid w:val="004009A2"/>
    <w:rsid w:val="00403838"/>
    <w:rsid w:val="00406699"/>
    <w:rsid w:val="00411E19"/>
    <w:rsid w:val="00421683"/>
    <w:rsid w:val="00443807"/>
    <w:rsid w:val="00454642"/>
    <w:rsid w:val="00470B90"/>
    <w:rsid w:val="00472A46"/>
    <w:rsid w:val="00475E13"/>
    <w:rsid w:val="00480759"/>
    <w:rsid w:val="00484F55"/>
    <w:rsid w:val="0048531A"/>
    <w:rsid w:val="0048677A"/>
    <w:rsid w:val="00494574"/>
    <w:rsid w:val="004A62BE"/>
    <w:rsid w:val="004B08FB"/>
    <w:rsid w:val="004B0A12"/>
    <w:rsid w:val="004C720C"/>
    <w:rsid w:val="004D27A9"/>
    <w:rsid w:val="004E0845"/>
    <w:rsid w:val="004E0AFD"/>
    <w:rsid w:val="004E6664"/>
    <w:rsid w:val="004E6EC2"/>
    <w:rsid w:val="005113D6"/>
    <w:rsid w:val="005129F3"/>
    <w:rsid w:val="00520450"/>
    <w:rsid w:val="00521767"/>
    <w:rsid w:val="005357B1"/>
    <w:rsid w:val="005459D1"/>
    <w:rsid w:val="00547ADE"/>
    <w:rsid w:val="00552043"/>
    <w:rsid w:val="0055552B"/>
    <w:rsid w:val="0055649C"/>
    <w:rsid w:val="005566B4"/>
    <w:rsid w:val="00562FAA"/>
    <w:rsid w:val="00564EE5"/>
    <w:rsid w:val="005703E4"/>
    <w:rsid w:val="0057575E"/>
    <w:rsid w:val="00576B43"/>
    <w:rsid w:val="005845BE"/>
    <w:rsid w:val="0058796E"/>
    <w:rsid w:val="0059145D"/>
    <w:rsid w:val="005929A0"/>
    <w:rsid w:val="00592BD8"/>
    <w:rsid w:val="005A7A3C"/>
    <w:rsid w:val="005B2524"/>
    <w:rsid w:val="005D579F"/>
    <w:rsid w:val="005F10E5"/>
    <w:rsid w:val="00615430"/>
    <w:rsid w:val="00617A35"/>
    <w:rsid w:val="00621822"/>
    <w:rsid w:val="0062219B"/>
    <w:rsid w:val="00622473"/>
    <w:rsid w:val="00633A2F"/>
    <w:rsid w:val="006601E3"/>
    <w:rsid w:val="0066192E"/>
    <w:rsid w:val="00670E30"/>
    <w:rsid w:val="00686005"/>
    <w:rsid w:val="00687E96"/>
    <w:rsid w:val="0069117B"/>
    <w:rsid w:val="006B33A3"/>
    <w:rsid w:val="006B35F9"/>
    <w:rsid w:val="006B58C2"/>
    <w:rsid w:val="006C1D0E"/>
    <w:rsid w:val="006C1F92"/>
    <w:rsid w:val="006D2958"/>
    <w:rsid w:val="006D780F"/>
    <w:rsid w:val="006E00A5"/>
    <w:rsid w:val="006F0177"/>
    <w:rsid w:val="006F5735"/>
    <w:rsid w:val="00706F90"/>
    <w:rsid w:val="00711B08"/>
    <w:rsid w:val="00717CA4"/>
    <w:rsid w:val="007203B8"/>
    <w:rsid w:val="0072308C"/>
    <w:rsid w:val="007322A9"/>
    <w:rsid w:val="00734322"/>
    <w:rsid w:val="00742074"/>
    <w:rsid w:val="00744E52"/>
    <w:rsid w:val="00751F4A"/>
    <w:rsid w:val="00755FA5"/>
    <w:rsid w:val="00761292"/>
    <w:rsid w:val="0076519A"/>
    <w:rsid w:val="00772A4E"/>
    <w:rsid w:val="007810A7"/>
    <w:rsid w:val="00781142"/>
    <w:rsid w:val="00791DD0"/>
    <w:rsid w:val="00792E2F"/>
    <w:rsid w:val="007937AB"/>
    <w:rsid w:val="007A49EB"/>
    <w:rsid w:val="007A5591"/>
    <w:rsid w:val="007A7F2F"/>
    <w:rsid w:val="007B033C"/>
    <w:rsid w:val="007B07CF"/>
    <w:rsid w:val="007B3B31"/>
    <w:rsid w:val="007C18F6"/>
    <w:rsid w:val="007D2DEB"/>
    <w:rsid w:val="007E2A2C"/>
    <w:rsid w:val="007E2F04"/>
    <w:rsid w:val="00800C8D"/>
    <w:rsid w:val="0080204B"/>
    <w:rsid w:val="00807AE0"/>
    <w:rsid w:val="00810946"/>
    <w:rsid w:val="00835539"/>
    <w:rsid w:val="0084212A"/>
    <w:rsid w:val="00847374"/>
    <w:rsid w:val="00851B2E"/>
    <w:rsid w:val="00860DEF"/>
    <w:rsid w:val="00866005"/>
    <w:rsid w:val="0087642E"/>
    <w:rsid w:val="00885139"/>
    <w:rsid w:val="00894134"/>
    <w:rsid w:val="008A1702"/>
    <w:rsid w:val="008B4EFC"/>
    <w:rsid w:val="008E7852"/>
    <w:rsid w:val="008F3144"/>
    <w:rsid w:val="00906995"/>
    <w:rsid w:val="009135C2"/>
    <w:rsid w:val="0091601F"/>
    <w:rsid w:val="009225BA"/>
    <w:rsid w:val="00923D29"/>
    <w:rsid w:val="00931F67"/>
    <w:rsid w:val="0093723D"/>
    <w:rsid w:val="00940ED0"/>
    <w:rsid w:val="00942523"/>
    <w:rsid w:val="00957BBB"/>
    <w:rsid w:val="009639CD"/>
    <w:rsid w:val="009727F8"/>
    <w:rsid w:val="00981B54"/>
    <w:rsid w:val="009852DA"/>
    <w:rsid w:val="009A02CC"/>
    <w:rsid w:val="009A3412"/>
    <w:rsid w:val="009A7148"/>
    <w:rsid w:val="009A7D4A"/>
    <w:rsid w:val="009A7FF4"/>
    <w:rsid w:val="009B24E7"/>
    <w:rsid w:val="009B673D"/>
    <w:rsid w:val="009C425B"/>
    <w:rsid w:val="009E5D89"/>
    <w:rsid w:val="009F455F"/>
    <w:rsid w:val="009F6B4D"/>
    <w:rsid w:val="009F7C1D"/>
    <w:rsid w:val="00A03D33"/>
    <w:rsid w:val="00A11237"/>
    <w:rsid w:val="00A12AA5"/>
    <w:rsid w:val="00A1676D"/>
    <w:rsid w:val="00A363B2"/>
    <w:rsid w:val="00A560B3"/>
    <w:rsid w:val="00A56129"/>
    <w:rsid w:val="00A70148"/>
    <w:rsid w:val="00A779B0"/>
    <w:rsid w:val="00A801A3"/>
    <w:rsid w:val="00A84976"/>
    <w:rsid w:val="00A86759"/>
    <w:rsid w:val="00AA04D9"/>
    <w:rsid w:val="00AA1EC4"/>
    <w:rsid w:val="00AA469C"/>
    <w:rsid w:val="00AB3DB5"/>
    <w:rsid w:val="00AB60A4"/>
    <w:rsid w:val="00AC0FC3"/>
    <w:rsid w:val="00AC7BA2"/>
    <w:rsid w:val="00AD24CF"/>
    <w:rsid w:val="00AD2938"/>
    <w:rsid w:val="00AD517C"/>
    <w:rsid w:val="00AF0D4E"/>
    <w:rsid w:val="00B023DC"/>
    <w:rsid w:val="00B035DE"/>
    <w:rsid w:val="00B0758F"/>
    <w:rsid w:val="00B123B0"/>
    <w:rsid w:val="00B41B3C"/>
    <w:rsid w:val="00B44517"/>
    <w:rsid w:val="00B51503"/>
    <w:rsid w:val="00B551D4"/>
    <w:rsid w:val="00B63DAC"/>
    <w:rsid w:val="00B64CB5"/>
    <w:rsid w:val="00B70039"/>
    <w:rsid w:val="00B72D72"/>
    <w:rsid w:val="00B81C3E"/>
    <w:rsid w:val="00B8472C"/>
    <w:rsid w:val="00B92018"/>
    <w:rsid w:val="00B9315C"/>
    <w:rsid w:val="00B952D7"/>
    <w:rsid w:val="00B964A9"/>
    <w:rsid w:val="00BA23CF"/>
    <w:rsid w:val="00BA3ACA"/>
    <w:rsid w:val="00BB7FE3"/>
    <w:rsid w:val="00BC4C50"/>
    <w:rsid w:val="00BD1FD5"/>
    <w:rsid w:val="00BF48A8"/>
    <w:rsid w:val="00C13164"/>
    <w:rsid w:val="00C243A0"/>
    <w:rsid w:val="00C24A1F"/>
    <w:rsid w:val="00C44434"/>
    <w:rsid w:val="00C44F03"/>
    <w:rsid w:val="00C5246A"/>
    <w:rsid w:val="00C53488"/>
    <w:rsid w:val="00C70C74"/>
    <w:rsid w:val="00C7326D"/>
    <w:rsid w:val="00C735BA"/>
    <w:rsid w:val="00CA12B1"/>
    <w:rsid w:val="00CB273F"/>
    <w:rsid w:val="00CB6AD2"/>
    <w:rsid w:val="00CB7C45"/>
    <w:rsid w:val="00CC46EA"/>
    <w:rsid w:val="00CC62BA"/>
    <w:rsid w:val="00CD07DF"/>
    <w:rsid w:val="00CE48B3"/>
    <w:rsid w:val="00CF03E2"/>
    <w:rsid w:val="00CF67EB"/>
    <w:rsid w:val="00D01CC0"/>
    <w:rsid w:val="00D0369C"/>
    <w:rsid w:val="00D10F19"/>
    <w:rsid w:val="00D12BE9"/>
    <w:rsid w:val="00D12EAD"/>
    <w:rsid w:val="00D1586F"/>
    <w:rsid w:val="00D16B73"/>
    <w:rsid w:val="00D35EF0"/>
    <w:rsid w:val="00D41A7B"/>
    <w:rsid w:val="00D665E4"/>
    <w:rsid w:val="00D73EE9"/>
    <w:rsid w:val="00D8281A"/>
    <w:rsid w:val="00D86079"/>
    <w:rsid w:val="00D86C1C"/>
    <w:rsid w:val="00D97542"/>
    <w:rsid w:val="00D97EEF"/>
    <w:rsid w:val="00DB0A98"/>
    <w:rsid w:val="00DB328F"/>
    <w:rsid w:val="00DD1999"/>
    <w:rsid w:val="00DD3CDA"/>
    <w:rsid w:val="00DE4C7C"/>
    <w:rsid w:val="00DE7D8A"/>
    <w:rsid w:val="00DF3EA2"/>
    <w:rsid w:val="00DF44AA"/>
    <w:rsid w:val="00DF5F21"/>
    <w:rsid w:val="00E00C6E"/>
    <w:rsid w:val="00E03854"/>
    <w:rsid w:val="00E10337"/>
    <w:rsid w:val="00E108D1"/>
    <w:rsid w:val="00E10A7B"/>
    <w:rsid w:val="00E26D76"/>
    <w:rsid w:val="00E328A8"/>
    <w:rsid w:val="00E40176"/>
    <w:rsid w:val="00E427B5"/>
    <w:rsid w:val="00E465AD"/>
    <w:rsid w:val="00E46F2C"/>
    <w:rsid w:val="00E47AA2"/>
    <w:rsid w:val="00E50EEB"/>
    <w:rsid w:val="00E528E7"/>
    <w:rsid w:val="00E60427"/>
    <w:rsid w:val="00E75EE3"/>
    <w:rsid w:val="00E844DE"/>
    <w:rsid w:val="00E91586"/>
    <w:rsid w:val="00E945DD"/>
    <w:rsid w:val="00E97234"/>
    <w:rsid w:val="00EA2EBD"/>
    <w:rsid w:val="00EB063F"/>
    <w:rsid w:val="00EB0AAF"/>
    <w:rsid w:val="00EB2DC8"/>
    <w:rsid w:val="00EB615C"/>
    <w:rsid w:val="00EB76AB"/>
    <w:rsid w:val="00EE05A5"/>
    <w:rsid w:val="00EE4BAA"/>
    <w:rsid w:val="00EE55CF"/>
    <w:rsid w:val="00EE6100"/>
    <w:rsid w:val="00EF14C2"/>
    <w:rsid w:val="00F03CC8"/>
    <w:rsid w:val="00F15840"/>
    <w:rsid w:val="00F2351E"/>
    <w:rsid w:val="00F355D5"/>
    <w:rsid w:val="00F44B8B"/>
    <w:rsid w:val="00F47A11"/>
    <w:rsid w:val="00F526A0"/>
    <w:rsid w:val="00F71D6D"/>
    <w:rsid w:val="00FA0C92"/>
    <w:rsid w:val="00FA5460"/>
    <w:rsid w:val="00FB7355"/>
    <w:rsid w:val="00FB75BC"/>
    <w:rsid w:val="00FD439B"/>
    <w:rsid w:val="00FF3554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3344C"/>
  <w15:chartTrackingRefBased/>
  <w15:docId w15:val="{2C08AD1D-45C9-4579-A11B-24BA252C2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B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B033C"/>
  </w:style>
  <w:style w:type="paragraph" w:styleId="Footer">
    <w:name w:val="footer"/>
    <w:basedOn w:val="Normal"/>
    <w:link w:val="FooterChar"/>
    <w:uiPriority w:val="99"/>
    <w:unhideWhenUsed/>
    <w:rsid w:val="007B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33C"/>
  </w:style>
  <w:style w:type="paragraph" w:customStyle="1" w:styleId="Default">
    <w:name w:val="Default"/>
    <w:rsid w:val="00C735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94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51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51B2E"/>
    <w:rPr>
      <w:i/>
      <w:iCs/>
    </w:rPr>
  </w:style>
  <w:style w:type="character" w:styleId="Hyperlink">
    <w:name w:val="Hyperlink"/>
    <w:basedOn w:val="DefaultParagraphFont"/>
    <w:uiPriority w:val="99"/>
    <w:unhideWhenUsed/>
    <w:rsid w:val="00851B2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41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C16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6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6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6A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51F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sicParagraph">
    <w:name w:val="[Basic Paragraph]"/>
    <w:basedOn w:val="Normal"/>
    <w:uiPriority w:val="99"/>
    <w:rsid w:val="00D8607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LightShading-Accent1">
    <w:name w:val="Light Shading Accent 1"/>
    <w:basedOn w:val="TableNormal"/>
    <w:uiPriority w:val="60"/>
    <w:rsid w:val="00117918"/>
    <w:pPr>
      <w:spacing w:after="0" w:line="240" w:lineRule="auto"/>
    </w:pPr>
    <w:rPr>
      <w:rFonts w:eastAsiaTheme="minorEastAsia"/>
      <w:color w:val="365F91" w:themeColor="accent1" w:themeShade="BF"/>
      <w:lang w:eastAsia="zh-CN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FA0C9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16CD4"/>
    <w:rPr>
      <w:color w:val="605E5C"/>
      <w:shd w:val="clear" w:color="auto" w:fill="E1DFDD"/>
    </w:rPr>
  </w:style>
  <w:style w:type="table" w:customStyle="1" w:styleId="TableGrid0">
    <w:name w:val="TableGrid"/>
    <w:rsid w:val="00A56129"/>
    <w:pPr>
      <w:spacing w:after="0" w:line="240" w:lineRule="auto"/>
    </w:pPr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8473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3726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4223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008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581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5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6626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4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4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67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24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49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tent.naic.org/pbr_data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0FEDF019004E4AB00FDE98BFC1B847" ma:contentTypeVersion="19" ma:contentTypeDescription="Create a new document." ma:contentTypeScope="" ma:versionID="d4b2d34a2240354c96f00560d1f4df24">
  <xsd:schema xmlns:xsd="http://www.w3.org/2001/XMLSchema" xmlns:xs="http://www.w3.org/2001/XMLSchema" xmlns:p="http://schemas.microsoft.com/office/2006/metadata/properties" xmlns:ns2="dbd46520-c392-41b5-9f68-fe7486eefad7" xmlns:ns3="826143e3-bbcb-45bb-8829-107013e701e5" xmlns:ns4="3c9e15a3-223f-4584-afb1-1dbe0b3878fa" targetNamespace="http://schemas.microsoft.com/office/2006/metadata/properties" ma:root="true" ma:fieldsID="76e36c993ebb523253fd760d9901fd3a" ns2:_="" ns3:_="" ns4:_="">
    <xsd:import namespace="dbd46520-c392-41b5-9f68-fe7486eefad7"/>
    <xsd:import namespace="826143e3-bbcb-45bb-8829-107013e701e5"/>
    <xsd:import namespace="3c9e15a3-223f-4584-afb1-1dbe0b3878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Progress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520-c392-41b5-9f68-fe7486eef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8e0220-fee2-4e32-9192-0559fdf47d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ProgressStatus" ma:index="25" nillable="true" ma:displayName="Progress Status" ma:default="Not Started" ma:description="Green = Complete&#10;Yellow = In-Progress&#10;Red = Not Started" ma:format="Dropdown" ma:internalName="ProgressStatus">
      <xsd:simpleType>
        <xsd:union memberTypes="dms:Text">
          <xsd:simpleType>
            <xsd:restriction base="dms:Choice">
              <xsd:enumeration value="Complete"/>
              <xsd:enumeration value="Pending 2nd Review"/>
              <xsd:enumeration value="Ready for Review"/>
              <xsd:enumeration value="In-Progress"/>
              <xsd:enumeration value="Not Started"/>
            </xsd:restriction>
          </xsd:simpleType>
        </xsd:un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143e3-bbcb-45bb-8829-107013e701e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e15a3-223f-4584-afb1-1dbe0b3878f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57f632e-5ad0-4c8c-a771-480ef62b4bfd}" ma:internalName="TaxCatchAll" ma:showField="CatchAllData" ma:web="826143e3-bbcb-45bb-8829-107013e701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9e15a3-223f-4584-afb1-1dbe0b3878fa" xsi:nil="true"/>
    <lcf76f155ced4ddcb4097134ff3c332f xmlns="dbd46520-c392-41b5-9f68-fe7486eefad7">
      <Terms xmlns="http://schemas.microsoft.com/office/infopath/2007/PartnerControls"/>
    </lcf76f155ced4ddcb4097134ff3c332f>
    <ProgressStatus xmlns="dbd46520-c392-41b5-9f68-fe7486eefad7">Not Started</ProgressStatus>
  </documentManagement>
</p:properties>
</file>

<file path=customXml/item3.xml><?xml version="1.0" encoding="utf-8"?>
<TemplafyTemplateConfiguration><![CDATA[{"elementsMetadata":[],"transformationConfigurations":[],"isBaseTemplate":false,"enableDocumentContentUpdater":false,"version":"2.0"}]]></TemplafyTemplateConfiguration>
</file>

<file path=customXml/item4.xml><?xml version="1.0" encoding="utf-8"?>
<TemplafyFormConfiguration><![CDATA[{"formFields":[],"formDataEntries":[]}]]></TemplafyFormConfiguratio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04D03-777D-44B6-89BB-94EBC3A00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520-c392-41b5-9f68-fe7486eefad7"/>
    <ds:schemaRef ds:uri="826143e3-bbcb-45bb-8829-107013e701e5"/>
    <ds:schemaRef ds:uri="3c9e15a3-223f-4584-afb1-1dbe0b387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A942E-A2F5-4F34-9DC5-6180EF966D54}">
  <ds:schemaRefs>
    <ds:schemaRef ds:uri="http://schemas.microsoft.com/office/2006/metadata/properties"/>
    <ds:schemaRef ds:uri="http://schemas.microsoft.com/office/infopath/2007/PartnerControls"/>
    <ds:schemaRef ds:uri="3c9e15a3-223f-4584-afb1-1dbe0b3878fa"/>
    <ds:schemaRef ds:uri="dbd46520-c392-41b5-9f68-fe7486eefad7"/>
  </ds:schemaRefs>
</ds:datastoreItem>
</file>

<file path=customXml/itemProps3.xml><?xml version="1.0" encoding="utf-8"?>
<ds:datastoreItem xmlns:ds="http://schemas.openxmlformats.org/officeDocument/2006/customXml" ds:itemID="{366331CD-B1A5-4B41-865D-672690EA79BF}">
  <ds:schemaRefs/>
</ds:datastoreItem>
</file>

<file path=customXml/itemProps4.xml><?xml version="1.0" encoding="utf-8"?>
<ds:datastoreItem xmlns:ds="http://schemas.openxmlformats.org/officeDocument/2006/customXml" ds:itemID="{5CF8F1D2-0953-4AF3-86E6-7E2F0393B36D}">
  <ds:schemaRefs/>
</ds:datastoreItem>
</file>

<file path=customXml/itemProps5.xml><?xml version="1.0" encoding="utf-8"?>
<ds:datastoreItem xmlns:ds="http://schemas.openxmlformats.org/officeDocument/2006/customXml" ds:itemID="{69E48927-6A44-4135-A152-29084DA23F1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A28858-FEFC-4155-8947-B95E09FB10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f7c44d-d510-4321-9258-956e71d8b56e}" enabled="0" method="" siteId="{61f7c44d-d510-4321-9258-956e71d8b56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949</Words>
  <Characters>5539</Characters>
  <Application>Microsoft Office Word</Application>
  <DocSecurity>0</DocSecurity>
  <Lines>167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LATF_SAP_Coordination_Memo</vt:lpstr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LATF_SAP_Coordination_Memo</dc:title>
  <dc:subject/>
  <dc:creator>Scott O'Neal</dc:creator>
  <cp:keywords/>
  <dc:description/>
  <cp:lastModifiedBy>Braun, Monica</cp:lastModifiedBy>
  <cp:revision>12</cp:revision>
  <cp:lastPrinted>2026-07-31T13:37:00Z</cp:lastPrinted>
  <dcterms:created xsi:type="dcterms:W3CDTF">2026-07-27T15:33:00Z</dcterms:created>
  <dcterms:modified xsi:type="dcterms:W3CDTF">2026-07-31T14:23:00Z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0x010100DD0FEDF019004E4AB00FDE98BFC1B847</vt:lpwstr>
  </property>
  <property fmtid="{D5CDD505-2E9C-101B-9397-08002B2CF9AE}" pid="3" name="MediaServiceImageTags">
    <vt:lpwstr/>
  </property>
</Properties>
</file>